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BANQUET EVENT ORDER (BEO)</w:t>
      </w:r>
    </w:p>
    <w:p>
      <w:r>
        <w:t>Sample: BEO billing summary for a hotel ballroom wedding · Philippines · amounts in PHP · dates MM/DD/YYYY</w:t>
      </w:r>
    </w:p>
    <w:p>
      <w:r>
        <w:t>Wedding reception for 250 guests in a Manila hotel ballroom, 5:00 pm to 10:00 pm, VAT-registered hotel, prices exclusive of VAT.</w:t>
      </w:r>
    </w:p>
    <w:p>
      <w:pPr>
        <w:pStyle w:val="Heading1"/>
      </w:pPr>
      <w:r>
        <w:t>Details required in Philippines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BEO number, revision and client signature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Guaranteed headcount and final-count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Program flow with times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Dietary notes by table and seat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Sanitary permit sighted for the kitchen or caterer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Health certificates for all food crew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Staff count and service charge note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Food, beverage and services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Four-course plated dinner</w:t>
            </w:r>
          </w:p>
        </w:tc>
        <w:tc>
          <w:tcPr>
            <w:tcW w:type="dxa" w:w="1728"/>
          </w:tcPr>
          <w:p>
            <w:r>
              <w:t>250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₱1,650.00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  <w:tr>
        <w:tc>
          <w:tcPr>
            <w:tcW w:type="dxa" w:w="1728"/>
          </w:tcPr>
          <w:p>
            <w:r>
              <w:t>Free-flowing iced tea and soda</w:t>
            </w:r>
          </w:p>
        </w:tc>
        <w:tc>
          <w:tcPr>
            <w:tcW w:type="dxa" w:w="1728"/>
          </w:tcPr>
          <w:p>
            <w:r>
              <w:t>250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₱120.00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  <w:tr>
        <w:tc>
          <w:tcPr>
            <w:tcW w:type="dxa" w:w="1728"/>
          </w:tcPr>
          <w:p>
            <w:r>
              <w:t>Ballroom styling package with ceiling treatment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package</w:t>
            </w:r>
          </w:p>
        </w:tc>
        <w:tc>
          <w:tcPr>
            <w:tcW w:type="dxa" w:w="1728"/>
          </w:tcPr>
          <w:p>
            <w:r>
              <w:t>₱55,000.00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  <w:tr>
        <w:tc>
          <w:tcPr>
            <w:tcW w:type="dxa" w:w="1728"/>
          </w:tcPr>
          <w:p>
            <w:r>
              <w:t>LED wall, lights and sounds with technician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₱40,000.00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  <w:tr>
        <w:tc>
          <w:tcPr>
            <w:tcW w:type="dxa" w:w="1728"/>
          </w:tcPr>
          <w:p>
            <w:r>
              <w:t>Whole lechon for the buffet station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pig</w:t>
            </w:r>
          </w:p>
        </w:tc>
        <w:tc>
          <w:tcPr>
            <w:tcW w:type="dxa" w:w="1728"/>
          </w:tcPr>
          <w:p>
            <w:r>
              <w:t>₱9,800.00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</w:tbl>
    <w:p>
      <w:pPr>
        <w:pStyle w:val="Heading2"/>
      </w:pPr>
      <w:r>
        <w:t>Timeline (run of show)</w:t>
      </w:r>
    </w:p>
    <w:p>
      <w:r>
        <w:t>Venue access / set-up start: ______________________________</w:t>
      </w:r>
    </w:p>
    <w:p>
      <w:r>
        <w:t>Guest arrival: ______________________________</w:t>
      </w:r>
    </w:p>
    <w:p>
      <w:r>
        <w:t>Service start: ______________________________</w:t>
      </w:r>
    </w:p>
    <w:p>
      <w:r>
        <w:t>Speeches / key moments: ______________________________</w:t>
      </w:r>
    </w:p>
    <w:p>
      <w:r>
        <w:t>Last service: ______________________________</w:t>
      </w:r>
    </w:p>
    <w:p>
      <w:r>
        <w:t>Venue clear by: ______________________________</w:t>
      </w:r>
    </w:p>
    <w:p>
      <w:pPr>
        <w:pStyle w:val="Heading2"/>
      </w:pPr>
      <w:r>
        <w:t>Dietary requirements and allergens</w:t>
      </w:r>
    </w:p>
    <w:p>
      <w:r>
        <w:t>Guest name / table — requirement — how it is served and labelled: ______________________________</w:t>
      </w:r>
    </w:p>
    <w:p>
      <w:r>
        <w:t xml:space="preserve"> ______________________________</w:t>
      </w:r>
    </w:p>
    <w:p>
      <w:r>
        <w:t xml:space="preserve"> ______________________________</w:t>
      </w:r>
    </w:p>
    <w:p>
      <w:pPr>
        <w:pStyle w:val="Heading2"/>
      </w:pPr>
      <w:r>
        <w:t>Room set-up</w:t>
      </w:r>
    </w:p>
    <w:p>
      <w:r>
        <w:t>Layout (rounds / banquet / theatre): ______________________________</w:t>
      </w:r>
    </w:p>
    <w:p>
      <w:r>
        <w:t>Tables and seats: ______________________________</w:t>
      </w:r>
    </w:p>
    <w:p>
      <w:r>
        <w:t>Linen, cutlery, glassware: ______________________________</w:t>
      </w:r>
    </w:p>
    <w:p>
      <w:r>
        <w:t>AV / stage / dance floor: ______________________________</w:t>
      </w:r>
    </w:p>
    <w:p>
      <w:pPr>
        <w:pStyle w:val="Heading2"/>
      </w:pPr>
      <w:r>
        <w:t>Staffing</w:t>
      </w:r>
    </w:p>
    <w:p>
      <w:r>
        <w:t>Event manager on the night: ______________________________</w:t>
      </w:r>
    </w:p>
    <w:p>
      <w:r>
        <w:t>Servers / bar staff: ______________________________</w:t>
      </w:r>
    </w:p>
    <w:p>
      <w:r>
        <w:t>Kitchen lead: ______________________________</w:t>
      </w:r>
    </w:p>
    <w:p>
      <w:pPr>
        <w:pStyle w:val="Heading2"/>
      </w:pPr>
      <w:r>
        <w:t>Guaranteed numbers and changes</w:t>
      </w:r>
    </w:p>
    <w:p>
      <w:r>
        <w:t>Final guest count due by: ______________________________</w:t>
      </w:r>
    </w:p>
    <w:p>
      <w:r>
        <w:t>Guaranteed minimum: ______________________________</w:t>
      </w:r>
    </w:p>
    <w:p>
      <w:r>
        <w:t>Changes after the cut-off are charged at: ______________________________</w:t>
      </w:r>
    </w:p>
    <w:p>
      <w:pPr>
        <w:pStyle w:val="Heading1"/>
      </w:pPr>
      <w:r>
        <w:t>Notes for Philippines</w:t>
      </w:r>
    </w:p>
    <w:p>
      <w:pPr>
        <w:pStyle w:val="ListBullet"/>
      </w:pPr>
      <w:r>
        <w:t>Guaranteed 240 guests; final count 7 days before; extra guests at the plated rate.</w:t>
      </w:r>
    </w:p>
    <w:p>
      <w:pPr>
        <w:pStyle w:val="ListBullet"/>
      </w:pPr>
      <w:r>
        <w:t>Program: grand entrance 6:15 pm, money dance 7:30 pm, lechon carving 6:45 pm.</w:t>
      </w:r>
    </w:p>
    <w:p>
      <w:pPr>
        <w:pStyle w:val="ListBullet"/>
      </w:pPr>
      <w:r>
        <w:t>If a service charge is added, show it on its own line; it is distributed to covered staff under RA 11360.</w:t>
      </w:r>
    </w:p>
    <w:p>
      <w:pPr>
        <w:pStyle w:val="ListBullet"/>
      </w:pPr>
      <w:r>
        <w:t>BEO number, revision and client signature: Shows which version the client approved</w:t>
      </w:r>
    </w:p>
    <w:p>
      <w:pPr>
        <w:pStyle w:val="ListBullet"/>
      </w:pPr>
      <w:r>
        <w:t>Guaranteed headcount and final-count date: Sets billing for added or missing guests</w:t>
      </w:r>
    </w:p>
    <w:p>
      <w:pPr>
        <w:pStyle w:val="ListBullet"/>
      </w:pPr>
      <w:r>
        <w:t>Program flow with times: The kitchen times each course around the program</w:t>
      </w:r>
    </w:p>
    <w:p>
      <w:pPr>
        <w:pStyle w:val="ListBullet"/>
      </w:pPr>
      <w:r>
        <w:t>Dietary notes by table and seat: Servers act on seat numbers, not totals</w:t>
      </w:r>
    </w:p>
    <w:p>
      <w:pPr>
        <w:pStyle w:val="ListBullet"/>
      </w:pPr>
      <w:r>
        <w:t>Sanitary permit sighted for the kitchen or caterer: Required for every food establishment under the Code on Sanitation</w:t>
      </w:r>
    </w:p>
    <w:p>
      <w:pPr>
        <w:pStyle w:val="ListBullet"/>
      </w:pPr>
      <w:r>
        <w:t>Health certificates for all food crew: No one may be employed in a food establishment without one</w:t>
      </w:r>
    </w:p>
    <w:p>
      <w:pPr>
        <w:pStyle w:val="ListBullet"/>
      </w:pPr>
      <w:r>
        <w:t>Staff count and service charge note: Collected service charges go to covered staff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Venue / caterer: ______________________   Date: __________</w:t>
      </w:r>
    </w:p>
    <w:p>
      <w:r>
        <w:t>Sources: Presidential Decree No. 856, Code on Sanitation, Sections 14 (sanitary permit) and 15 (health certificates), Official Gazette (https://www.officialgazette.gov.ph/1975/12/23/presidential-decree-no-856-s-1975/, checked 2026-09-25); Republic Act No. 11360, service charges in hotels, restaurants and similar establishments, Lawphil (https://lawphil.net/statutes/repacts/ra2019/ra_11360_2019.html, checked 2026-09-25); Republic Act No. 11976 (Ease of Paying Taxes Act), amended Sections 108, 113 and 237 of the Tax Code, Lawphil (https://lawphil.net/statutes/repacts/ra2024/ra_11976_2024.html, checked 2026-09-25)</w:t>
      </w:r>
    </w:p>
    <w:p>
      <w:r>
        <w:t>General information, not legal or tax advice. Have a local lawyer review contracts before use. Template by Venura (venura.org).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