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1A3FF0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36"/>
              </w:rPr>
              <w:t>EVENT MANAGEMENT QUOTATION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608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Agency</w:t>
            </w:r>
          </w:p>
        </w:tc>
        <w:tc>
          <w:tcPr>
            <w:tcW w:type="dxa" w:w="703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[Your agency name]  |  GSTIN [27AAAAA0000A1Z5]</w:t>
            </w:r>
          </w:p>
        </w:tc>
      </w:tr>
      <w:tr>
        <w:tc>
          <w:tcPr>
            <w:tcW w:type="dxa" w:w="2608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Client</w:t>
            </w:r>
          </w:p>
        </w:tc>
        <w:tc>
          <w:tcPr>
            <w:tcW w:type="dxa" w:w="703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Sample Pharma Pvt Ltd  |  GSTIN [27BBBBB1111B1Z5]</w:t>
            </w:r>
          </w:p>
        </w:tc>
      </w:tr>
      <w:tr>
        <w:tc>
          <w:tcPr>
            <w:tcW w:type="dxa" w:w="2608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Event</w:t>
            </w:r>
          </w:p>
        </w:tc>
        <w:tc>
          <w:tcPr>
            <w:tcW w:type="dxa" w:w="703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Annual Day 2026, Hotel ballroom, Pune  |  14-Nov-2026  |  300 guests</w:t>
            </w:r>
          </w:p>
        </w:tc>
      </w:tr>
      <w:tr>
        <w:tc>
          <w:tcPr>
            <w:tcW w:type="dxa" w:w="2608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Quotation no. / date</w:t>
            </w:r>
          </w:p>
        </w:tc>
        <w:tc>
          <w:tcPr>
            <w:tcW w:type="dxa" w:w="703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QUO-2026-0142  |  25-Sep-2026  |  Valid for 7 days</w:t>
            </w:r>
          </w:p>
        </w:tc>
      </w:tr>
      <w:tr>
        <w:tc>
          <w:tcPr>
            <w:tcW w:type="dxa" w:w="2608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Place of supply / SAC</w:t>
            </w:r>
          </w:p>
        </w:tc>
        <w:tc>
          <w:tcPr>
            <w:tcW w:type="dxa" w:w="7030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Intra-state (Maharashtra)  |  SAC 998397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567"/>
            <w:shd w:val="clear" w:color="auto" w:fill="1A3FF0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5216"/>
            <w:shd w:val="clear" w:color="auto" w:fill="1A3FF0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Scope</w:t>
            </w:r>
          </w:p>
        </w:tc>
        <w:tc>
          <w:tcPr>
            <w:tcW w:type="dxa" w:w="1247"/>
            <w:shd w:val="clear" w:color="auto" w:fill="1A3FF0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304"/>
            <w:shd w:val="clear" w:color="auto" w:fill="1A3FF0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Rate</w:t>
            </w:r>
          </w:p>
        </w:tc>
        <w:tc>
          <w:tcPr>
            <w:tcW w:type="dxa" w:w="1417"/>
            <w:shd w:val="clear" w:color="auto" w:fill="1A3FF0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56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5216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Stage &amp; backdrop: 32x12 ft stage, 12x8 ft P2.6 LED backdrop, 1 day rigging</w:t>
            </w:r>
          </w:p>
        </w:tc>
        <w:tc>
          <w:tcPr>
            <w:tcW w:type="dxa" w:w="124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1 lot</w:t>
            </w:r>
          </w:p>
        </w:tc>
        <w:tc>
          <w:tcPr>
            <w:tcW w:type="dxa" w:w="1304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₹1,85,000</w:t>
            </w:r>
          </w:p>
        </w:tc>
        <w:tc>
          <w:tcPr>
            <w:tcW w:type="dxa" w:w="141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₹1,85,000</w:t>
            </w:r>
          </w:p>
        </w:tc>
      </w:tr>
      <w:tr>
        <w:tc>
          <w:tcPr>
            <w:tcW w:type="dxa" w:w="56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5216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Sound &amp; lighting: Line-array PA, 8 moving heads, 2 followspots, operators</w:t>
            </w:r>
          </w:p>
        </w:tc>
        <w:tc>
          <w:tcPr>
            <w:tcW w:type="dxa" w:w="124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1 lot</w:t>
            </w:r>
          </w:p>
        </w:tc>
        <w:tc>
          <w:tcPr>
            <w:tcW w:type="dxa" w:w="1304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₹1,20,000</w:t>
            </w:r>
          </w:p>
        </w:tc>
        <w:tc>
          <w:tcPr>
            <w:tcW w:type="dxa" w:w="141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₹1,20,000</w:t>
            </w:r>
          </w:p>
        </w:tc>
      </w:tr>
      <w:tr>
        <w:tc>
          <w:tcPr>
            <w:tcW w:type="dxa" w:w="56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5216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Anchor: Emcee, 2 hours + script briefing</w:t>
            </w:r>
          </w:p>
        </w:tc>
        <w:tc>
          <w:tcPr>
            <w:tcW w:type="dxa" w:w="124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1 event</w:t>
            </w:r>
          </w:p>
        </w:tc>
        <w:tc>
          <w:tcPr>
            <w:tcW w:type="dxa" w:w="1304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₹45,000</w:t>
            </w:r>
          </w:p>
        </w:tc>
        <w:tc>
          <w:tcPr>
            <w:tcW w:type="dxa" w:w="141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₹45,000</w:t>
            </w:r>
          </w:p>
        </w:tc>
      </w:tr>
      <w:tr>
        <w:tc>
          <w:tcPr>
            <w:tcW w:type="dxa" w:w="56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5216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Live music: 5-piece band, 90-minute set</w:t>
            </w:r>
          </w:p>
        </w:tc>
        <w:tc>
          <w:tcPr>
            <w:tcW w:type="dxa" w:w="124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1 set</w:t>
            </w:r>
          </w:p>
        </w:tc>
        <w:tc>
          <w:tcPr>
            <w:tcW w:type="dxa" w:w="1304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₹90,000</w:t>
            </w:r>
          </w:p>
        </w:tc>
        <w:tc>
          <w:tcPr>
            <w:tcW w:type="dxa" w:w="141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₹90,000</w:t>
            </w:r>
          </w:p>
        </w:tc>
      </w:tr>
      <w:tr>
        <w:tc>
          <w:tcPr>
            <w:tcW w:type="dxa" w:w="56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5216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Registration: Desk, 300 printed badges, 4 hostesses</w:t>
            </w:r>
          </w:p>
        </w:tc>
        <w:tc>
          <w:tcPr>
            <w:tcW w:type="dxa" w:w="124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1 lot</w:t>
            </w:r>
          </w:p>
        </w:tc>
        <w:tc>
          <w:tcPr>
            <w:tcW w:type="dxa" w:w="1304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₹38,000</w:t>
            </w:r>
          </w:p>
        </w:tc>
        <w:tc>
          <w:tcPr>
            <w:tcW w:type="dxa" w:w="141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₹38,000</w:t>
            </w:r>
          </w:p>
        </w:tc>
      </w:tr>
      <w:tr>
        <w:tc>
          <w:tcPr>
            <w:tcW w:type="dxa" w:w="56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5216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Decor: Entrance arch, stage flowers, 20 table centrepieces</w:t>
            </w:r>
          </w:p>
        </w:tc>
        <w:tc>
          <w:tcPr>
            <w:tcW w:type="dxa" w:w="124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1 lot</w:t>
            </w:r>
          </w:p>
        </w:tc>
        <w:tc>
          <w:tcPr>
            <w:tcW w:type="dxa" w:w="1304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₹52,000</w:t>
            </w:r>
          </w:p>
        </w:tc>
        <w:tc>
          <w:tcPr>
            <w:tcW w:type="dxa" w:w="141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₹52,000</w:t>
            </w:r>
          </w:p>
        </w:tc>
      </w:tr>
      <w:tr>
        <w:tc>
          <w:tcPr>
            <w:tcW w:type="dxa" w:w="56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5216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Show control: Run-of-show, rehearsal, 6-person on-ground team x 2 days</w:t>
            </w:r>
          </w:p>
        </w:tc>
        <w:tc>
          <w:tcPr>
            <w:tcW w:type="dxa" w:w="1247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19"/>
              </w:rPr>
              <w:t>1 lot</w:t>
            </w:r>
          </w:p>
        </w:tc>
        <w:tc>
          <w:tcPr>
            <w:tcW w:type="dxa" w:w="1304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₹40,000</w:t>
            </w:r>
          </w:p>
        </w:tc>
        <w:tc>
          <w:tcPr>
            <w:tcW w:type="dxa" w:w="1417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₹40,000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7087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Production &amp; services subtotal</w:t>
            </w:r>
          </w:p>
        </w:tc>
        <w:tc>
          <w:tcPr>
            <w:tcW w:type="dxa" w:w="2665"/>
          </w:tcPr>
          <w:p>
            <w:pPr>
              <w:spacing w:after="40" w:before="40"/>
              <w:jc w:val="right"/>
            </w:pPr>
            <w:r/>
            <w:r>
              <w:rPr>
                <w:b/>
                <w:sz w:val="20"/>
              </w:rPr>
              <w:t>₹5,70,000</w:t>
            </w:r>
          </w:p>
        </w:tc>
      </w:tr>
      <w:tr>
        <w:tc>
          <w:tcPr>
            <w:tcW w:type="dxa" w:w="7087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Management fee (15% of subtotal)</w:t>
            </w:r>
          </w:p>
        </w:tc>
        <w:tc>
          <w:tcPr>
            <w:tcW w:type="dxa" w:w="266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₹85,500</w:t>
            </w:r>
          </w:p>
        </w:tc>
      </w:tr>
      <w:tr>
        <w:tc>
          <w:tcPr>
            <w:tcW w:type="dxa" w:w="7087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Taxable value</w:t>
            </w:r>
          </w:p>
        </w:tc>
        <w:tc>
          <w:tcPr>
            <w:tcW w:type="dxa" w:w="2665"/>
          </w:tcPr>
          <w:p>
            <w:pPr>
              <w:spacing w:after="40" w:before="40"/>
              <w:jc w:val="right"/>
            </w:pPr>
            <w:r/>
            <w:r>
              <w:rPr>
                <w:b/>
                <w:sz w:val="20"/>
              </w:rPr>
              <w:t>₹6,55,500</w:t>
            </w:r>
          </w:p>
        </w:tc>
      </w:tr>
      <w:tr>
        <w:tc>
          <w:tcPr>
            <w:tcW w:type="dxa" w:w="7087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CGST @ 9%</w:t>
            </w:r>
          </w:p>
        </w:tc>
        <w:tc>
          <w:tcPr>
            <w:tcW w:type="dxa" w:w="266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₹58,995</w:t>
            </w:r>
          </w:p>
        </w:tc>
      </w:tr>
      <w:tr>
        <w:tc>
          <w:tcPr>
            <w:tcW w:type="dxa" w:w="7087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SGST @ 9%</w:t>
            </w:r>
          </w:p>
        </w:tc>
        <w:tc>
          <w:tcPr>
            <w:tcW w:type="dxa" w:w="2665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₹58,995</w:t>
            </w:r>
          </w:p>
        </w:tc>
      </w:tr>
      <w:tr>
        <w:tc>
          <w:tcPr>
            <w:tcW w:type="dxa" w:w="7087"/>
            <w:shd w:val="clear" w:color="auto" w:fill="DDE6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TOTAL PAYABLE</w:t>
            </w:r>
          </w:p>
        </w:tc>
        <w:tc>
          <w:tcPr>
            <w:tcW w:type="dxa" w:w="2665"/>
            <w:shd w:val="clear" w:color="auto" w:fill="DDE6FF"/>
          </w:tcPr>
          <w:p>
            <w:pPr>
              <w:spacing w:after="40" w:before="40"/>
              <w:jc w:val="right"/>
            </w:pPr>
            <w:r/>
            <w:r>
              <w:rPr>
                <w:b/>
                <w:sz w:val="20"/>
              </w:rPr>
              <w:t>₹7,73,490</w:t>
            </w:r>
          </w:p>
        </w:tc>
      </w:tr>
    </w:tbl>
    <w:p>
      <w:pPr>
        <w:spacing w:before="120"/>
      </w:pPr>
      <w:r>
        <w:rPr>
          <w:i/>
          <w:sz w:val="18"/>
        </w:rPr>
        <w:t>If the client deducts TDS under Section 194-C at 2% on the taxable value, the deduction is ₹13,110 and the cash received is ₹7,60,380.</w:t>
      </w:r>
    </w:p>
    <w:p>
      <w:pPr>
        <w:pStyle w:val="Heading2"/>
      </w:pPr>
      <w:r>
        <w:t>Payment milestones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A3FF0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2493"/>
            <w:shd w:val="clear" w:color="auto" w:fill="1A3FF0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When due</w:t>
            </w:r>
          </w:p>
        </w:tc>
        <w:tc>
          <w:tcPr>
            <w:tcW w:type="dxa" w:w="2493"/>
            <w:shd w:val="clear" w:color="auto" w:fill="1A3FF0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%</w:t>
            </w:r>
          </w:p>
        </w:tc>
        <w:tc>
          <w:tcPr>
            <w:tcW w:type="dxa" w:w="2493"/>
            <w:shd w:val="clear" w:color="auto" w:fill="1A3FF0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249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Confirmation advance</w:t>
            </w:r>
          </w:p>
        </w:tc>
        <w:tc>
          <w:tcPr>
            <w:tcW w:type="dxa" w:w="249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On signing this quotation</w:t>
            </w:r>
          </w:p>
        </w:tc>
        <w:tc>
          <w:tcPr>
            <w:tcW w:type="dxa" w:w="249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40%</w:t>
            </w:r>
          </w:p>
        </w:tc>
        <w:tc>
          <w:tcPr>
            <w:tcW w:type="dxa" w:w="2493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₹3,09,396</w:t>
            </w:r>
          </w:p>
        </w:tc>
      </w:tr>
      <w:tr>
        <w:tc>
          <w:tcPr>
            <w:tcW w:type="dxa" w:w="249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Pre-event payment</w:t>
            </w:r>
          </w:p>
        </w:tc>
        <w:tc>
          <w:tcPr>
            <w:tcW w:type="dxa" w:w="249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7 days before the event</w:t>
            </w:r>
          </w:p>
        </w:tc>
        <w:tc>
          <w:tcPr>
            <w:tcW w:type="dxa" w:w="249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40%</w:t>
            </w:r>
          </w:p>
        </w:tc>
        <w:tc>
          <w:tcPr>
            <w:tcW w:type="dxa" w:w="2493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₹3,09,396</w:t>
            </w:r>
          </w:p>
        </w:tc>
      </w:tr>
      <w:tr>
        <w:tc>
          <w:tcPr>
            <w:tcW w:type="dxa" w:w="249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Balance</w:t>
            </w:r>
          </w:p>
        </w:tc>
        <w:tc>
          <w:tcPr>
            <w:tcW w:type="dxa" w:w="249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Within 7 days after the event</w:t>
            </w:r>
          </w:p>
        </w:tc>
        <w:tc>
          <w:tcPr>
            <w:tcW w:type="dxa" w:w="2493"/>
          </w:tcPr>
          <w:p>
            <w:pPr>
              <w:spacing w:after="40" w:before="40"/>
            </w:pPr>
            <w:r/>
            <w:r>
              <w:rPr>
                <w:b w:val="0"/>
                <w:sz w:val="19"/>
              </w:rPr>
              <w:t>20%</w:t>
            </w:r>
          </w:p>
        </w:tc>
        <w:tc>
          <w:tcPr>
            <w:tcW w:type="dxa" w:w="2493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19"/>
              </w:rPr>
              <w:t>₹1,54,698</w:t>
            </w:r>
          </w:p>
        </w:tc>
      </w:tr>
    </w:tbl>
    <w:p>
      <w:pPr>
        <w:pStyle w:val="Heading2"/>
      </w:pPr>
      <w:r>
        <w:t>Terms &amp; conditions</w:t>
      </w:r>
    </w:p>
    <w:p>
      <w:pPr>
        <w:pStyle w:val="ListNumber"/>
        <w:spacing w:after="60"/>
      </w:pPr>
      <w:r>
        <w:rPr>
          <w:b/>
          <w:sz w:val="19"/>
        </w:rPr>
        <w:t xml:space="preserve">Scope. </w:t>
      </w:r>
      <w:r>
        <w:rPr>
          <w:sz w:val="19"/>
        </w:rPr>
        <w:t>This quotation covers only the items and quantities listed. Venue hire, hotel food and beverage, and music copyright licences are billed directly to the client unless a line above says otherwise.</w:t>
      </w:r>
    </w:p>
    <w:p>
      <w:pPr>
        <w:pStyle w:val="ListNumber"/>
        <w:spacing w:after="60"/>
      </w:pPr>
      <w:r>
        <w:rPr>
          <w:b/>
          <w:sz w:val="19"/>
        </w:rPr>
        <w:t xml:space="preserve">Guest count basis. </w:t>
      </w:r>
      <w:r>
        <w:rPr>
          <w:sz w:val="19"/>
        </w:rPr>
        <w:t>Priced for the guest count on the quotation. Per-head items (badges, hostesses, seating) are re-priced if the final count moves more than 10% either way.</w:t>
      </w:r>
    </w:p>
    <w:p>
      <w:pPr>
        <w:pStyle w:val="ListNumber"/>
        <w:spacing w:after="60"/>
      </w:pPr>
      <w:r>
        <w:rPr>
          <w:b/>
          <w:sz w:val="19"/>
        </w:rPr>
        <w:t xml:space="preserve">Validity. </w:t>
      </w:r>
      <w:r>
        <w:rPr>
          <w:sz w:val="19"/>
        </w:rPr>
        <w:t>Valid for the number of days shown on the quotation. Artist and equipment availability is not held beyond that date.</w:t>
      </w:r>
    </w:p>
    <w:p>
      <w:pPr>
        <w:pStyle w:val="ListNumber"/>
        <w:spacing w:after="60"/>
      </w:pPr>
      <w:r>
        <w:rPr>
          <w:b/>
          <w:sz w:val="19"/>
        </w:rPr>
        <w:t xml:space="preserve">Change control. </w:t>
      </w:r>
      <w:r>
        <w:rPr>
          <w:sz w:val="19"/>
        </w:rPr>
        <w:t>Changes to scope, dates, venue or guest count after approval are quoted in writing and start only after the client confirms them.</w:t>
      </w:r>
    </w:p>
    <w:p>
      <w:pPr>
        <w:pStyle w:val="ListNumber"/>
        <w:spacing w:after="60"/>
      </w:pPr>
      <w:r>
        <w:rPr>
          <w:b/>
          <w:sz w:val="19"/>
        </w:rPr>
        <w:t xml:space="preserve">Payment. </w:t>
      </w:r>
      <w:r>
        <w:rPr>
          <w:sz w:val="19"/>
        </w:rPr>
        <w:t>Milestones as scheduled on the quotation. Work on the next milestone starts only when the previous one is cleared.</w:t>
      </w:r>
    </w:p>
    <w:p>
      <w:pPr>
        <w:pStyle w:val="ListNumber"/>
        <w:spacing w:after="60"/>
      </w:pPr>
      <w:r>
        <w:rPr>
          <w:b/>
          <w:sz w:val="19"/>
        </w:rPr>
        <w:t xml:space="preserve">Taxes. </w:t>
      </w:r>
      <w:r>
        <w:rPr>
          <w:sz w:val="19"/>
        </w:rPr>
        <w:t>GST is charged at the rate shown under SAC 998397. Where the client deducts TDS under Section 194-C, the deduction is on the taxable value excluding GST and a TDS certificate is due each quarter.</w:t>
      </w:r>
    </w:p>
    <w:p>
      <w:pPr>
        <w:pStyle w:val="ListNumber"/>
        <w:spacing w:after="60"/>
      </w:pPr>
      <w:r>
        <w:rPr>
          <w:b/>
          <w:sz w:val="19"/>
        </w:rPr>
        <w:t xml:space="preserve">Cancellation (sample). </w:t>
      </w:r>
      <w:r>
        <w:rPr>
          <w:sz w:val="19"/>
        </w:rPr>
        <w:t>More than 30 days before the event: the confirmation advance is retained. 15 to 30 days: 60% of the total is payable. Less than 15 days: 100% is payable. Vendor non-refundable deposits are passed through at actuals.</w:t>
      </w:r>
    </w:p>
    <w:p>
      <w:pPr>
        <w:pStyle w:val="ListNumber"/>
        <w:spacing w:after="60"/>
      </w:pPr>
      <w:r>
        <w:rPr>
          <w:b/>
          <w:sz w:val="19"/>
        </w:rPr>
        <w:t xml:space="preserve">Force majeure. </w:t>
      </w:r>
      <w:r>
        <w:rPr>
          <w:sz w:val="19"/>
        </w:rPr>
        <w:t>Neither party is liable for delay or failure caused by events beyond reasonable control, including severe weather, government orders and venue closure. Costs already committed to vendors remain payable.</w:t>
      </w:r>
    </w:p>
    <w:p>
      <w:pPr>
        <w:pStyle w:val="ListNumber"/>
        <w:spacing w:after="60"/>
      </w:pPr>
      <w:r>
        <w:rPr>
          <w:b/>
          <w:sz w:val="19"/>
        </w:rPr>
        <w:t xml:space="preserve">Overtime. </w:t>
      </w:r>
      <w:r>
        <w:rPr>
          <w:sz w:val="19"/>
        </w:rPr>
        <w:t>Crew and equipment are booked for the hours stated in the scope. Extra hours are charged at the rates agreed in advance.</w:t>
      </w:r>
    </w:p>
    <w:p>
      <w:pPr>
        <w:pStyle w:val="ListNumber"/>
        <w:spacing w:after="60"/>
      </w:pPr>
      <w:r>
        <w:rPr>
          <w:b/>
          <w:sz w:val="19"/>
        </w:rPr>
        <w:t xml:space="preserve">Jurisdiction. </w:t>
      </w:r>
      <w:r>
        <w:rPr>
          <w:sz w:val="19"/>
        </w:rPr>
        <w:t>Courts at the agency's registered city have jurisdiction. Have your advisor review these terms before you rely on them.</w:t>
      </w:r>
    </w:p>
    <w:p>
      <w:pPr>
        <w:pStyle w:val="Heading2"/>
      </w:pPr>
      <w:r>
        <w:t>Acceptance</w:t>
      </w:r>
    </w:p>
    <w:p>
      <w:r>
        <w:t>Accepted for and on behalf of the client, subject to the terms above.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Client name &amp; signature</w:t>
            </w:r>
          </w:p>
        </w:tc>
        <w:tc>
          <w:tcPr>
            <w:tcW w:type="dxa" w:w="4986"/>
          </w:tcPr>
          <w:p>
            <w:pPr>
              <w:spacing w:after="40" w:before="40"/>
            </w:pPr>
            <w:r/>
            <w:r>
              <w:rPr>
                <w:b/>
                <w:sz w:val="19"/>
              </w:rPr>
              <w:t>Date</w:t>
            </w:r>
          </w:p>
        </w:tc>
      </w:tr>
      <w:tr>
        <w:trPr>
          <w:trHeight w:val="794"/>
        </w:trPr>
        <w:tc>
          <w:tcPr>
            <w:tcW w:type="dxa" w:w="4986"/>
          </w:tcPr>
          <w:p/>
        </w:tc>
        <w:tc>
          <w:tcPr>
            <w:tcW w:type="dxa" w:w="4986"/>
          </w:tcPr>
          <w:p/>
        </w:tc>
      </w:tr>
    </w:tbl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Management Quotation Format</dc:title>
  <dc:subject/>
  <dc:creator>Venura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