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Event booking: hold, deposit and cancellation terms</w:t>
      </w:r>
    </w:p>
    <w:p>
      <w:r>
        <w:rPr>
          <w:i/>
        </w:rPr>
        <w:t>Template for venues taking private bookings (weddings, receptions, corporate functions). Fill every [bracket]. The tiers and percentages are examples to start from, not rules. Ask a lawyer to review the final wording for your state before you print it on a booking form.</w:t>
      </w:r>
    </w:p>
    <w:p>
      <w:pPr>
        <w:pStyle w:val="Heading2"/>
      </w:pPr>
      <w:r>
        <w:t>Booking details</w:t>
      </w:r>
    </w:p>
    <w:tbl>
      <w:tblPr>
        <w:tblStyle w:val="LightGrid-Accent1"/>
        <w:tblW w:type="auto" w:w="0"/>
        <w:tblLook w:firstColumn="1" w:firstRow="1" w:lastColumn="0" w:lastRow="0" w:noHBand="0" w:noVBand="1" w:val="04A0"/>
      </w:tblPr>
      <w:tblGrid>
        <w:gridCol w:w="4873"/>
        <w:gridCol w:w="4873"/>
      </w:tblGrid>
      <w:tr>
        <w:tc>
          <w:tcPr>
            <w:tcW w:type="dxa" w:w="4873"/>
          </w:tcPr>
          <w:p>
            <w:r>
              <w:t>Venue / hall</w:t>
            </w:r>
          </w:p>
        </w:tc>
        <w:tc>
          <w:tcPr>
            <w:tcW w:type="dxa" w:w="4873"/>
          </w:tcPr>
          <w:p>
            <w:r>
              <w:t>[Hall name]</w:t>
            </w:r>
          </w:p>
        </w:tc>
      </w:tr>
      <w:tr>
        <w:tc>
          <w:tcPr>
            <w:tcW w:type="dxa" w:w="4873"/>
          </w:tcPr>
          <w:p>
            <w:r>
              <w:t>Client name and phone</w:t>
            </w:r>
          </w:p>
        </w:tc>
        <w:tc>
          <w:tcPr>
            <w:tcW w:type="dxa" w:w="4873"/>
          </w:tcPr>
          <w:p>
            <w:r>
              <w:t>[Name, phone]</w:t>
            </w:r>
          </w:p>
        </w:tc>
      </w:tr>
      <w:tr>
        <w:tc>
          <w:tcPr>
            <w:tcW w:type="dxa" w:w="4873"/>
          </w:tcPr>
          <w:p>
            <w:r>
              <w:t>Event date and slot</w:t>
            </w:r>
          </w:p>
        </w:tc>
        <w:tc>
          <w:tcPr>
            <w:tcW w:type="dxa" w:w="4873"/>
          </w:tcPr>
          <w:p>
            <w:r>
              <w:t>[Date] [Morning / Evening / Full day]</w:t>
            </w:r>
          </w:p>
        </w:tc>
      </w:tr>
      <w:tr>
        <w:tc>
          <w:tcPr>
            <w:tcW w:type="dxa" w:w="4873"/>
          </w:tcPr>
          <w:p>
            <w:r>
              <w:t>Expected guests</w:t>
            </w:r>
          </w:p>
        </w:tc>
        <w:tc>
          <w:tcPr>
            <w:tcW w:type="dxa" w:w="4873"/>
          </w:tcPr>
          <w:p>
            <w:r>
              <w:t>[Number]</w:t>
            </w:r>
          </w:p>
        </w:tc>
      </w:tr>
      <w:tr>
        <w:tc>
          <w:tcPr>
            <w:tcW w:type="dxa" w:w="4873"/>
          </w:tcPr>
          <w:p>
            <w:r>
              <w:t>Package</w:t>
            </w:r>
          </w:p>
        </w:tc>
        <w:tc>
          <w:tcPr>
            <w:tcW w:type="dxa" w:w="4873"/>
          </w:tcPr>
          <w:p>
            <w:r>
              <w:t>[Hall + food package / Hall only / Hall + extras]</w:t>
            </w:r>
          </w:p>
        </w:tc>
      </w:tr>
      <w:tr>
        <w:tc>
          <w:tcPr>
            <w:tcW w:type="dxa" w:w="4873"/>
          </w:tcPr>
          <w:p>
            <w:r>
              <w:t>Package value before GST</w:t>
            </w:r>
          </w:p>
        </w:tc>
        <w:tc>
          <w:tcPr>
            <w:tcW w:type="dxa" w:w="4873"/>
          </w:tcPr>
          <w:p>
            <w:r>
              <w:t>Rs [amount]</w:t>
            </w:r>
          </w:p>
        </w:tc>
      </w:tr>
      <w:tr>
        <w:tc>
          <w:tcPr>
            <w:tcW w:type="dxa" w:w="4873"/>
          </w:tcPr>
          <w:p>
            <w:r>
              <w:t>GST</w:t>
            </w:r>
          </w:p>
        </w:tc>
        <w:tc>
          <w:tcPr>
            <w:tcW w:type="dxa" w:w="4873"/>
          </w:tcPr>
          <w:p>
            <w:r>
              <w:t>[5% on hall + food package, 2.5% CGST + 2.5% SGST] / [18% on hall rent alone, decor and other extras]</w:t>
            </w:r>
          </w:p>
        </w:tc>
      </w:tr>
      <w:tr>
        <w:tc>
          <w:tcPr>
            <w:tcW w:type="dxa" w:w="4873"/>
          </w:tcPr>
          <w:p>
            <w:r>
              <w:t>Total including GST</w:t>
            </w:r>
          </w:p>
        </w:tc>
        <w:tc>
          <w:tcPr>
            <w:tcW w:type="dxa" w:w="4873"/>
          </w:tcPr>
          <w:p>
            <w:r>
              <w:t>Rs [amount]</w:t>
            </w:r>
          </w:p>
        </w:tc>
      </w:tr>
    </w:tbl>
    <w:p>
      <w:pPr>
        <w:pStyle w:val="Heading2"/>
      </w:pPr>
      <w:r>
        <w:t>Terms</w:t>
      </w:r>
    </w:p>
    <w:p>
      <w:pPr>
        <w:spacing w:after="120"/>
      </w:pPr>
      <w:r>
        <w:rPr>
          <w:b/>
        </w:rPr>
        <w:t xml:space="preserve">1. Tentative hold. </w:t>
      </w:r>
      <w:r>
        <w:t>On the client's request, the venue may hold the date for [48] hours from [time and date]. A hold is not a booking. If the booking advance is not received in full by the end of the hold, the date is released without further notice and may be offered to another client.</w:t>
      </w:r>
    </w:p>
    <w:p>
      <w:pPr>
        <w:spacing w:after="120"/>
      </w:pPr>
      <w:r>
        <w:rPr>
          <w:b/>
        </w:rPr>
        <w:t xml:space="preserve">2. Booking advance. </w:t>
      </w:r>
      <w:r>
        <w:t>The booking is confirmed only when the venue receives an advance of [30]% of the total including GST, Rs [amount], and issues a numbered receipt voucher. The date is reserved for the client from that receipt onwards.</w:t>
      </w:r>
    </w:p>
    <w:p>
      <w:pPr>
        <w:spacing w:after="120"/>
      </w:pPr>
      <w:r>
        <w:rPr>
          <w:b/>
        </w:rPr>
        <w:t xml:space="preserve">3. Payment schedule. </w:t>
      </w:r>
      <w:r>
        <w:t>Advance [30]% on booking. A second instalment of [40]% is due [45] days before the event. The balance of [30]% is due [7] days before the event. Payments by cash are accepted only up to the limit the law allows for a single day, event or transaction; larger sums are paid by bank transfer, cheque or UPI.</w:t>
      </w:r>
    </w:p>
    <w:p>
      <w:pPr>
        <w:spacing w:after="120"/>
      </w:pPr>
      <w:r>
        <w:rPr>
          <w:b/>
        </w:rPr>
        <w:t xml:space="preserve">4. GST. </w:t>
      </w:r>
      <w:r>
        <w:t>GST is charged on the package as set out above. A receipt voucher is issued for every advance and the amount is adjusted against the final tax invoice. Any change in the tax rate that applies by law on the event date is passed on to the client.</w:t>
      </w:r>
    </w:p>
    <w:p>
      <w:pPr>
        <w:spacing w:after="120"/>
      </w:pPr>
      <w:r>
        <w:rPr>
          <w:b/>
        </w:rPr>
        <w:t xml:space="preserve">5. Cancellation by the client. </w:t>
      </w:r>
      <w:r>
        <w:t>If the client cancels in writing, the venue retains the following share of the package value, and refunds any advance received above that amount within [15] working days of the cancellation or of the date being resold, whichever is earlier:</w:t>
      </w:r>
    </w:p>
    <w:tbl>
      <w:tblPr>
        <w:tblStyle w:val="LightGrid-Accent1"/>
        <w:tblW w:type="auto" w:w="0"/>
        <w:tblLook w:firstColumn="1" w:firstRow="1" w:lastColumn="0" w:lastRow="0" w:noHBand="0" w:noVBand="1" w:val="04A0"/>
      </w:tblPr>
      <w:tblGrid>
        <w:gridCol w:w="3249"/>
        <w:gridCol w:w="3249"/>
        <w:gridCol w:w="3249"/>
      </w:tblGrid>
      <w:tr>
        <w:tc>
          <w:tcPr>
            <w:tcW w:type="dxa" w:w="3249"/>
          </w:tcPr>
          <w:p>
            <w:r>
              <w:t>Written notice given</w:t>
            </w:r>
          </w:p>
        </w:tc>
        <w:tc>
          <w:tcPr>
            <w:tcW w:type="dxa" w:w="3249"/>
          </w:tcPr>
          <w:p>
            <w:r>
              <w:t>Share of package value retained</w:t>
            </w:r>
          </w:p>
        </w:tc>
        <w:tc>
          <w:tcPr>
            <w:tcW w:type="dxa" w:w="3249"/>
          </w:tcPr>
          <w:p>
            <w:r>
              <w:t>Example on Rs 6,30,000</w:t>
            </w:r>
          </w:p>
        </w:tc>
      </w:tr>
      <w:tr>
        <w:tc>
          <w:tcPr>
            <w:tcW w:type="dxa" w:w="3249"/>
          </w:tcPr>
          <w:p>
            <w:r>
              <w:t>90 days or more before the event</w:t>
            </w:r>
          </w:p>
        </w:tc>
        <w:tc>
          <w:tcPr>
            <w:tcW w:type="dxa" w:w="3249"/>
          </w:tcPr>
          <w:p>
            <w:r>
              <w:t>10%</w:t>
            </w:r>
          </w:p>
        </w:tc>
        <w:tc>
          <w:tcPr>
            <w:tcW w:type="dxa" w:w="3249"/>
          </w:tcPr>
          <w:p>
            <w:r>
              <w:t>Rs 63,000</w:t>
            </w:r>
          </w:p>
        </w:tc>
      </w:tr>
      <w:tr>
        <w:tc>
          <w:tcPr>
            <w:tcW w:type="dxa" w:w="3249"/>
          </w:tcPr>
          <w:p>
            <w:r>
              <w:t>60 to 89 days</w:t>
            </w:r>
          </w:p>
        </w:tc>
        <w:tc>
          <w:tcPr>
            <w:tcW w:type="dxa" w:w="3249"/>
          </w:tcPr>
          <w:p>
            <w:r>
              <w:t>25%</w:t>
            </w:r>
          </w:p>
        </w:tc>
        <w:tc>
          <w:tcPr>
            <w:tcW w:type="dxa" w:w="3249"/>
          </w:tcPr>
          <w:p>
            <w:r>
              <w:t>Rs 1,57,500</w:t>
            </w:r>
          </w:p>
        </w:tc>
      </w:tr>
      <w:tr>
        <w:tc>
          <w:tcPr>
            <w:tcW w:type="dxa" w:w="3249"/>
          </w:tcPr>
          <w:p>
            <w:r>
              <w:t>30 to 59 days</w:t>
            </w:r>
          </w:p>
        </w:tc>
        <w:tc>
          <w:tcPr>
            <w:tcW w:type="dxa" w:w="3249"/>
          </w:tcPr>
          <w:p>
            <w:r>
              <w:t>50%</w:t>
            </w:r>
          </w:p>
        </w:tc>
        <w:tc>
          <w:tcPr>
            <w:tcW w:type="dxa" w:w="3249"/>
          </w:tcPr>
          <w:p>
            <w:r>
              <w:t>Rs 3,15,000</w:t>
            </w:r>
          </w:p>
        </w:tc>
      </w:tr>
      <w:tr>
        <w:tc>
          <w:tcPr>
            <w:tcW w:type="dxa" w:w="3249"/>
          </w:tcPr>
          <w:p>
            <w:r>
              <w:t>Under 30 days</w:t>
            </w:r>
          </w:p>
        </w:tc>
        <w:tc>
          <w:tcPr>
            <w:tcW w:type="dxa" w:w="3249"/>
          </w:tcPr>
          <w:p>
            <w:r>
              <w:t>75%</w:t>
            </w:r>
          </w:p>
        </w:tc>
        <w:tc>
          <w:tcPr>
            <w:tcW w:type="dxa" w:w="3249"/>
          </w:tcPr>
          <w:p>
            <w:r>
              <w:t>Rs 4,72,500</w:t>
            </w:r>
          </w:p>
        </w:tc>
      </w:tr>
    </w:tbl>
    <w:p>
      <w:pPr>
        <w:spacing w:before="120"/>
      </w:pPr>
      <w:r>
        <w:t>The parties agree that these amounts are a genuine pre-estimate of the venue's loss from holding the date and turning away other bookings. If the venue resells the same date and slot at an equal or higher value, the venue will [refund the retained amount less its documented costs and a fee of Rs [amount]].</w:t>
      </w:r>
    </w:p>
    <w:p>
      <w:pPr>
        <w:spacing w:after="120"/>
      </w:pPr>
      <w:r>
        <w:rPr>
          <w:b/>
        </w:rPr>
        <w:t xml:space="preserve">6. Change of date. </w:t>
      </w:r>
      <w:r>
        <w:t>One change of date is allowed without charge if requested [60] days or more before the original date and the new date is available. Later changes are treated as a cancellation and a new booking.</w:t>
      </w:r>
    </w:p>
    <w:p>
      <w:pPr>
        <w:spacing w:after="120"/>
      </w:pPr>
      <w:r>
        <w:rPr>
          <w:b/>
        </w:rPr>
        <w:t xml:space="preserve">7. Cancellation by the venue. </w:t>
      </w:r>
      <w:r>
        <w:t>If the venue cannot provide the hall on the booked date for a reason within its control, it refunds every rupee received within [7] working days and pays [describe compensation, for example the difference in cost of a comparable hall up to Rs [amount]].</w:t>
      </w:r>
    </w:p>
    <w:p>
      <w:pPr>
        <w:spacing w:after="120"/>
      </w:pPr>
      <w:r>
        <w:rPr>
          <w:b/>
        </w:rPr>
        <w:t xml:space="preserve">8. Events beyond control. </w:t>
      </w:r>
      <w:r>
        <w:t>If the event cannot take place because of a government order, natural disaster or another event neither party could reasonably prevent, the parties will move the booking to a mutually agreed date within [12] months. If no date is agreed, the venue refunds the advance less costs it has already incurred and can document.</w:t>
      </w:r>
    </w:p>
    <w:p>
      <w:pPr>
        <w:spacing w:after="120"/>
      </w:pPr>
      <w:r>
        <w:rPr>
          <w:b/>
        </w:rPr>
        <w:t xml:space="preserve">9. Guest count and food. </w:t>
      </w:r>
      <w:r>
        <w:t>The final guest count is confirmed [7] days before the event. The client pays for the confirmed count or the actual count, whichever is higher, up to the hall's licensed capacity of [number].</w:t>
      </w:r>
    </w:p>
    <w:p>
      <w:pPr>
        <w:spacing w:after="120"/>
      </w:pPr>
      <w:r>
        <w:rPr>
          <w:b/>
        </w:rPr>
        <w:t xml:space="preserve">10. Disputes. </w:t>
      </w:r>
      <w:r>
        <w:t>The parties will first try to settle any dispute through a written discussion within [15] days. Courts at [city] have jurisdiction.</w:t>
      </w:r>
    </w:p>
    <w:p>
      <w:pPr>
        <w:pStyle w:val="Heading2"/>
      </w:pPr>
      <w:r>
        <w:t>Acceptance</w:t>
      </w:r>
    </w:p>
    <w:tbl>
      <w:tblPr>
        <w:tblStyle w:val="LightGrid-Accent1"/>
        <w:tblW w:type="auto" w:w="0"/>
        <w:tblLook w:firstColumn="1" w:firstRow="1" w:lastColumn="0" w:lastRow="0" w:noHBand="0" w:noVBand="1" w:val="04A0"/>
      </w:tblPr>
      <w:tblGrid>
        <w:gridCol w:w="4873"/>
        <w:gridCol w:w="4873"/>
      </w:tblGrid>
      <w:tr>
        <w:tc>
          <w:tcPr>
            <w:tcW w:type="dxa" w:w="4873"/>
          </w:tcPr>
          <w:p>
            <w:r>
              <w:t>Client signature and date</w:t>
            </w:r>
          </w:p>
        </w:tc>
        <w:tc>
          <w:tcPr>
            <w:tcW w:type="dxa" w:w="4873"/>
          </w:tcPr>
          <w:p/>
        </w:tc>
      </w:tr>
      <w:tr>
        <w:tc>
          <w:tcPr>
            <w:tcW w:type="dxa" w:w="4873"/>
          </w:tcPr>
          <w:p>
            <w:r>
              <w:t>Venue representative, name and date</w:t>
            </w:r>
          </w:p>
        </w:tc>
        <w:tc>
          <w:tcPr>
            <w:tcW w:type="dxa" w:w="4873"/>
          </w:tcPr>
          <w:p/>
        </w:tc>
      </w:tr>
      <w:tr>
        <w:tc>
          <w:tcPr>
            <w:tcW w:type="dxa" w:w="4873"/>
          </w:tcPr>
          <w:p>
            <w:r>
              <w:t>Advance received (Rs) and receipt voucher no.</w:t>
            </w:r>
          </w:p>
        </w:tc>
        <w:tc>
          <w:tcPr>
            <w:tcW w:type="dxa" w:w="4873"/>
          </w:tcPr>
          <w:p/>
        </w:tc>
      </w:tr>
    </w:tbl>
    <w:p/>
    <w:p>
      <w:r>
        <w:rPr>
          <w:i/>
          <w:sz w:val="18"/>
        </w:rPr>
        <w:t>Notes for the venue: (1) Under Section 74 of the Indian Contract Act a court can award only reasonable compensation for breach even where a sum is written in the contract, so keep evidence of the enquiries you turned away and the price at which the date was resold. (2) Whether GST applies to a retained cancellation amount is not settled everywhere; record your CA's written advice. (3) Keep the client's phone number and identity documents only as long as you need them and protect them; data protection duties under the DPDP Act 2023 are phased in, with most obligations from 13 May 2027.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