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B1B4B"/>
          <w:sz w:val="40"/>
        </w:rPr>
        <w:t>CATERING SERVICES AGREEMENT</w:t>
      </w:r>
    </w:p>
    <w:p>
      <w:pPr>
        <w:spacing w:after="160"/>
        <w:jc w:val="center"/>
      </w:pPr>
      <w:r>
        <w:rPr>
          <w:b w:val="0"/>
          <w:i/>
          <w:color w:val="556075"/>
          <w:sz w:val="21"/>
        </w:rPr>
        <w:t>Template for caterers and event kitchens in India: weddings, corporate dinners, receptions</w:t>
      </w:r>
    </w:p>
    <w:p>
      <w:pPr>
        <w:shd w:val="clear" w:color="auto" w:fill="FFF7E6"/>
        <w:pBdr>
          <w:left w:val="single" w:sz="18" w:space="6" w:color="E0A100"/>
        </w:pBdr>
      </w:pPr>
      <w:r>
        <w:rPr>
          <w:b/>
          <w:sz w:val="19"/>
        </w:rPr>
        <w:t xml:space="preserve">Read this first. </w:t>
      </w:r>
      <w:r>
        <w:rPr>
          <w:sz w:val="19"/>
        </w:rPr>
        <w:t>This is a template, not legal advice. Blanks are yours to fill. The blue guidance notes explain why a clause exists and give worked figures; delete them before you send the agreement. Have a lawyer read it once, confirm the GST and TDS position with your CA, and stamp it as your state requires. Percentages and day counts in the notes are examples, not recommendations.</w:t>
      </w:r>
    </w:p>
    <w:p>
      <w:pPr>
        <w:pStyle w:val="Heading1"/>
      </w:pPr>
      <w:r>
        <w:t>Key terms</w:t>
      </w:r>
    </w:p>
    <w:tbl>
      <w:tblPr>
        <w:tblStyle w:val="TableGrid"/>
        <w:tblW w:type="auto" w:w="0"/>
        <w:jc w:val="center"/>
        <w:tblLook w:firstColumn="1" w:firstRow="1" w:lastColumn="0" w:lastRow="0" w:noHBand="0" w:noVBand="1" w:val="04A0"/>
      </w:tblPr>
      <w:tblGrid>
        <w:gridCol w:w="4986"/>
        <w:gridCol w:w="4986"/>
      </w:tblGrid>
      <w:tr>
        <w:tc>
          <w:tcPr>
            <w:tcW w:type="dxa" w:w="2608"/>
            <w:shd w:val="clear" w:color="auto" w:fill="0B1B4B"/>
          </w:tcPr>
          <w:p>
            <w:pPr>
              <w:spacing w:after="40"/>
            </w:pPr>
            <w:r/>
            <w:r>
              <w:rPr>
                <w:b/>
                <w:color w:val="FFFFFF"/>
                <w:sz w:val="19"/>
              </w:rPr>
              <w:t>Item</w:t>
            </w:r>
          </w:p>
        </w:tc>
        <w:tc>
          <w:tcPr>
            <w:tcW w:type="dxa" w:w="7030"/>
            <w:shd w:val="clear" w:color="auto" w:fill="0B1B4B"/>
          </w:tcPr>
          <w:p>
            <w:pPr>
              <w:spacing w:after="40"/>
            </w:pPr>
            <w:r/>
            <w:r>
              <w:rPr>
                <w:b/>
                <w:color w:val="FFFFFF"/>
                <w:sz w:val="19"/>
              </w:rPr>
              <w:t>Details to fill in</w:t>
            </w:r>
          </w:p>
        </w:tc>
      </w:tr>
      <w:tr>
        <w:tc>
          <w:tcPr>
            <w:tcW w:type="dxa" w:w="2608"/>
          </w:tcPr>
          <w:p>
            <w:pPr>
              <w:spacing w:after="40"/>
            </w:pPr>
            <w:r/>
            <w:r>
              <w:rPr>
                <w:sz w:val="19"/>
              </w:rPr>
              <w:t>Agreement no. and date</w:t>
            </w:r>
          </w:p>
        </w:tc>
        <w:tc>
          <w:tcPr>
            <w:tcW w:type="dxa" w:w="7030"/>
          </w:tcPr>
          <w:p>
            <w:pPr>
              <w:spacing w:after="40"/>
            </w:pPr>
            <w:r/>
            <w:r>
              <w:rPr>
                <w:sz w:val="19"/>
              </w:rPr>
              <w:t>CAT-AGR-________ dated ____ / ____ / ________</w:t>
            </w:r>
          </w:p>
        </w:tc>
      </w:tr>
      <w:tr>
        <w:tc>
          <w:tcPr>
            <w:tcW w:type="dxa" w:w="2608"/>
          </w:tcPr>
          <w:p>
            <w:pPr>
              <w:spacing w:after="40"/>
            </w:pPr>
            <w:r/>
            <w:r>
              <w:rPr>
                <w:sz w:val="19"/>
              </w:rPr>
              <w:t>Caterer</w:t>
            </w:r>
          </w:p>
        </w:tc>
        <w:tc>
          <w:tcPr>
            <w:tcW w:type="dxa" w:w="7030"/>
          </w:tcPr>
          <w:p>
            <w:pPr>
              <w:spacing w:after="40"/>
            </w:pPr>
            <w:r/>
            <w:r>
              <w:rPr>
                <w:sz w:val="19"/>
              </w:rPr>
              <w:t>Name: ______________________  GSTIN: ________________  FSSAI licence (14 digits): ______________</w:t>
              <w:br/>
              <w:t>Address: ______________________________________________</w:t>
            </w:r>
          </w:p>
        </w:tc>
      </w:tr>
      <w:tr>
        <w:tc>
          <w:tcPr>
            <w:tcW w:type="dxa" w:w="2608"/>
          </w:tcPr>
          <w:p>
            <w:pPr>
              <w:spacing w:after="40"/>
            </w:pPr>
            <w:r/>
            <w:r>
              <w:rPr>
                <w:sz w:val="19"/>
              </w:rPr>
              <w:t>Client</w:t>
            </w:r>
          </w:p>
        </w:tc>
        <w:tc>
          <w:tcPr>
            <w:tcW w:type="dxa" w:w="7030"/>
          </w:tcPr>
          <w:p>
            <w:pPr>
              <w:spacing w:after="40"/>
            </w:pPr>
            <w:r/>
            <w:r>
              <w:rPr>
                <w:sz w:val="19"/>
              </w:rPr>
              <w:t>Name: ______________________  PAN / GSTIN (if any): ________________</w:t>
              <w:br/>
              <w:t>Address and WhatsApp number for notices: ______________________</w:t>
            </w:r>
          </w:p>
        </w:tc>
      </w:tr>
      <w:tr>
        <w:tc>
          <w:tcPr>
            <w:tcW w:type="dxa" w:w="2608"/>
          </w:tcPr>
          <w:p>
            <w:pPr>
              <w:spacing w:after="40"/>
            </w:pPr>
            <w:r/>
            <w:r>
              <w:rPr>
                <w:sz w:val="19"/>
              </w:rPr>
              <w:t>Event</w:t>
            </w:r>
          </w:p>
        </w:tc>
        <w:tc>
          <w:tcPr>
            <w:tcW w:type="dxa" w:w="7030"/>
          </w:tcPr>
          <w:p>
            <w:pPr>
              <w:spacing w:after="40"/>
            </w:pPr>
            <w:r/>
            <w:r>
              <w:rPr>
                <w:sz w:val="19"/>
              </w:rPr>
              <w:t>Type: ______________  Date: ____ / ____ / ________  Meal window: ______ to ______</w:t>
            </w:r>
          </w:p>
        </w:tc>
      </w:tr>
      <w:tr>
        <w:tc>
          <w:tcPr>
            <w:tcW w:type="dxa" w:w="2608"/>
          </w:tcPr>
          <w:p>
            <w:pPr>
              <w:spacing w:after="40"/>
            </w:pPr>
            <w:r/>
            <w:r>
              <w:rPr>
                <w:sz w:val="19"/>
              </w:rPr>
              <w:t>Venue</w:t>
            </w:r>
          </w:p>
        </w:tc>
        <w:tc>
          <w:tcPr>
            <w:tcW w:type="dxa" w:w="7030"/>
          </w:tcPr>
          <w:p>
            <w:pPr>
              <w:spacing w:after="40"/>
            </w:pPr>
            <w:r/>
            <w:r>
              <w:rPr>
                <w:sz w:val="19"/>
              </w:rPr>
              <w:t>Name and address: ______________________________  Specified premises? Yes / No</w:t>
            </w:r>
          </w:p>
        </w:tc>
      </w:tr>
      <w:tr>
        <w:tc>
          <w:tcPr>
            <w:tcW w:type="dxa" w:w="2608"/>
          </w:tcPr>
          <w:p>
            <w:pPr>
              <w:spacing w:after="40"/>
            </w:pPr>
            <w:r/>
            <w:r>
              <w:rPr>
                <w:sz w:val="19"/>
              </w:rPr>
              <w:t>Minimum guarantee (MG)</w:t>
            </w:r>
          </w:p>
        </w:tc>
        <w:tc>
          <w:tcPr>
            <w:tcW w:type="dxa" w:w="7030"/>
          </w:tcPr>
          <w:p>
            <w:pPr>
              <w:spacing w:after="40"/>
            </w:pPr>
            <w:r/>
            <w:r>
              <w:rPr>
                <w:sz w:val="19"/>
              </w:rPr>
              <w:t>______ plates at INR ________ per plate before GST</w:t>
            </w:r>
          </w:p>
        </w:tc>
      </w:tr>
      <w:tr>
        <w:tc>
          <w:tcPr>
            <w:tcW w:type="dxa" w:w="2608"/>
          </w:tcPr>
          <w:p>
            <w:pPr>
              <w:spacing w:after="40"/>
            </w:pPr>
            <w:r/>
            <w:r>
              <w:rPr>
                <w:sz w:val="19"/>
              </w:rPr>
              <w:t>Extra-plate rate</w:t>
            </w:r>
          </w:p>
        </w:tc>
        <w:tc>
          <w:tcPr>
            <w:tcW w:type="dxa" w:w="7030"/>
          </w:tcPr>
          <w:p>
            <w:pPr>
              <w:spacing w:after="40"/>
            </w:pPr>
            <w:r/>
            <w:r>
              <w:rPr>
                <w:sz w:val="19"/>
              </w:rPr>
              <w:t>INR ________ per plate (base rate plus ____ %) up to ______ plates above MG</w:t>
            </w:r>
          </w:p>
        </w:tc>
      </w:tr>
      <w:tr>
        <w:tc>
          <w:tcPr>
            <w:tcW w:type="dxa" w:w="2608"/>
          </w:tcPr>
          <w:p>
            <w:pPr>
              <w:spacing w:after="40"/>
            </w:pPr>
            <w:r/>
            <w:r>
              <w:rPr>
                <w:sz w:val="19"/>
              </w:rPr>
              <w:t>Freeze date for final count</w:t>
            </w:r>
          </w:p>
        </w:tc>
        <w:tc>
          <w:tcPr>
            <w:tcW w:type="dxa" w:w="7030"/>
          </w:tcPr>
          <w:p>
            <w:pPr>
              <w:spacing w:after="40"/>
            </w:pPr>
            <w:r/>
            <w:r>
              <w:rPr>
                <w:sz w:val="19"/>
              </w:rPr>
              <w:t>____ / ____ / ________ (recommended: 7 days before the event)</w:t>
            </w:r>
          </w:p>
        </w:tc>
      </w:tr>
    </w:tbl>
    <w:p>
      <w:pPr>
        <w:spacing w:after="40"/>
      </w:pPr>
    </w:p>
    <w:p>
      <w:pPr>
        <w:pStyle w:val="Heading2"/>
      </w:pPr>
      <w:r>
        <w:t>1. Parties, event and documents</w:t>
      </w:r>
    </w:p>
    <w:p>
      <w:pPr>
        <w:ind w:left="340" w:hanging="340"/>
      </w:pPr>
      <w:r>
        <w:rPr>
          <w:b/>
        </w:rPr>
        <w:t xml:space="preserve">1.1  </w:t>
      </w:r>
      <w:r>
        <w:t>This Agreement is between the Caterer and the Client named in the Key terms and covers the catering for the Event described there. Schedule A (Menu and scope), Schedule B (Price and payments), Schedule C (Cancellation) and the Plate Count Sheet signed on the Event day form part of it.</w:t>
      </w:r>
    </w:p>
    <w:p>
      <w:pPr>
        <w:ind w:left="340" w:hanging="340"/>
      </w:pPr>
      <w:r>
        <w:rPr>
          <w:b/>
        </w:rPr>
        <w:t xml:space="preserve">1.2  </w:t>
      </w:r>
      <w:r>
        <w:t>If the Client is a company, firm or trust, the signatory confirms authority to bind it and will provide a resolution or authority letter on request.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Name the person who pays, not the person who talks to you. If a father pays for a wedding and the groom negotiates, the father signs as Client. You will need the payer's PAN for TDS paperwork, and you can only sue the person who signed.</w:t>
      </w:r>
    </w:p>
    <w:p>
      <w:pPr>
        <w:pStyle w:val="Heading2"/>
      </w:pPr>
      <w:r>
        <w:t>2. Menu, tasting and changes</w:t>
      </w:r>
    </w:p>
    <w:p>
      <w:pPr>
        <w:ind w:left="340" w:hanging="340"/>
      </w:pPr>
      <w:r>
        <w:rPr>
          <w:b/>
        </w:rPr>
        <w:t xml:space="preserve">2.1  </w:t>
      </w:r>
      <w:r>
        <w:t>The menu, live counters and service style are listed in Schedule A. The Caterer will hold a tasting for up to ____ people on ____ / ____ / ________ at no charge; extra tasting portions are charged at INR ______ per person.</w:t>
      </w:r>
    </w:p>
    <w:p>
      <w:pPr>
        <w:ind w:left="340" w:hanging="340"/>
      </w:pPr>
      <w:r>
        <w:rPr>
          <w:b/>
        </w:rPr>
        <w:t xml:space="preserve">2.2  </w:t>
      </w:r>
      <w:r>
        <w:t>The Client may change the menu in writing until the Freeze Date. A change that raises the cost per plate is billed at the difference. A change that lowers it is credited only where the Caterer has not yet bought or prepared the item.</w:t>
      </w:r>
    </w:p>
    <w:p>
      <w:pPr>
        <w:ind w:left="340" w:hanging="340"/>
      </w:pPr>
      <w:r>
        <w:rPr>
          <w:b/>
        </w:rPr>
        <w:t xml:space="preserve">2.3  </w:t>
      </w:r>
      <w:r>
        <w:t>If an ingredient becomes unavailable or unreasonable in price at the market, the Caterer may substitute an item of equal or higher value from the same category, after telling the Client's contact by WhatsApp.</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Put the menu in as a list of dishes and counters, not as "full Indian menu". A caterer with 22 items on Schedule A cannot be accused of serving 18, and a host with 22 in writing cannot ask for 26 on the night. The substitution sentence matters in the last week: paneer, seafood and seasonal vegetables can double in price without warning.</w:t>
      </w:r>
    </w:p>
    <w:p>
      <w:pPr>
        <w:pStyle w:val="Heading2"/>
      </w:pPr>
      <w:r>
        <w:t>3. Guest count, minimum guarantee and extra plates</w:t>
      </w:r>
    </w:p>
    <w:p>
      <w:pPr>
        <w:ind w:left="340" w:hanging="340"/>
      </w:pPr>
      <w:r>
        <w:rPr>
          <w:b/>
        </w:rPr>
        <w:t xml:space="preserve">3.1  </w:t>
      </w:r>
      <w:r>
        <w:t>The Client guarantees payment for the Minimum Guarantee plates whether or not that many guests attend.</w:t>
      </w:r>
    </w:p>
    <w:p>
      <w:pPr>
        <w:ind w:left="340" w:hanging="340"/>
      </w:pPr>
      <w:r>
        <w:rPr>
          <w:b/>
        </w:rPr>
        <w:t xml:space="preserve">3.2  </w:t>
      </w:r>
      <w:r>
        <w:t>The Client will give the final count in writing by the Freeze Date. That count, or the MG if higher, is the number the Caterer cooks for. A reduction after the Freeze Date is not credited.</w:t>
      </w:r>
    </w:p>
    <w:p>
      <w:pPr>
        <w:ind w:left="340" w:hanging="340"/>
      </w:pPr>
      <w:r>
        <w:rPr>
          <w:b/>
        </w:rPr>
        <w:t xml:space="preserve">3.3  </w:t>
      </w:r>
      <w:r>
        <w:t>Plates served above the cooked count, up to the limit in the Key terms, are charged at the Extra-plate rate. Above that limit the Caterer will serve as far as food and staff allow and does not guarantee the full menu to the additional guests.</w:t>
      </w:r>
    </w:p>
    <w:p>
      <w:pPr>
        <w:ind w:left="340" w:hanging="340"/>
      </w:pPr>
      <w:r>
        <w:rPr>
          <w:b/>
        </w:rPr>
        <w:t xml:space="preserve">3.4  </w:t>
      </w:r>
      <w:r>
        <w:t>Plates are counted at ____________________ (for example the buffet entry) using a running tally, initialled by the Client's representative at the times listed on the Plate Count Sheet. The final signed count is binding.</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worked example on a 400-plate MG at INR 900: the guarantee alone is INR 3,60,000 before GST. If 462 guests eat and the extra rate is INR 990 (10 percent above base), the 62 extra plates add INR 61,380. Without a counting method written into the agreement, the host remembers a count nearer 430 and the argument is over INR 31,680 (32 plates) to INR 61,380 (all 62). Keep the count method dull and mechanical: same spot, same person, same times, initialled.</w:t>
      </w:r>
    </w:p>
    <w:p>
      <w:pPr>
        <w:pStyle w:val="Heading2"/>
      </w:pPr>
      <w:r>
        <w:t>4. Service timing and staffing</w:t>
      </w:r>
    </w:p>
    <w:p>
      <w:pPr>
        <w:ind w:left="340" w:hanging="340"/>
      </w:pPr>
      <w:r>
        <w:rPr>
          <w:b/>
        </w:rPr>
        <w:t xml:space="preserve">4.1  </w:t>
      </w:r>
      <w:r>
        <w:t>The Caterer will have the buffet ready at ______ and serve until ______. Service beyond the closing time is charged at INR ______ per staff-hour for the staff actually retained.</w:t>
      </w:r>
    </w:p>
    <w:p>
      <w:pPr>
        <w:ind w:left="340" w:hanging="340"/>
      </w:pPr>
      <w:r>
        <w:rPr>
          <w:b/>
        </w:rPr>
        <w:t xml:space="preserve">4.2  </w:t>
      </w:r>
      <w:r>
        <w:t>The Caterer will provide ____ service staff per 25 guests, one captain per ____ staff, and a cleaning crew. Staff are the Caterer's employees or contractors and are not employees of the Client.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Overtime is the most common surprise line on a final bill. If the reception runs two hours late, 9 stewards at INR 250 an hour is INR 4,500. That is small money and a large disagreement if the rate is not printed here. Name the closing time, the rate and who can approve an extension.</w:t>
      </w:r>
    </w:p>
    <w:p>
      <w:pPr>
        <w:pStyle w:val="Heading2"/>
      </w:pPr>
      <w:r>
        <w:t>5. Venue, kitchen and facilities</w:t>
      </w:r>
    </w:p>
    <w:p>
      <w:pPr>
        <w:ind w:left="340" w:hanging="340"/>
      </w:pPr>
      <w:r>
        <w:rPr>
          <w:b/>
        </w:rPr>
        <w:t xml:space="preserve">5.1  </w:t>
      </w:r>
      <w:r>
        <w:t>The Client will make sure the Caterer has, from ______ on the Event day: a covered cooking area of about ____ sq ft, water supply, ____ kW of electrical load for live counters, safe storage for LPG cylinders as the venue permits, vehicle access, and a cold or ice arrangement for perishables.</w:t>
      </w:r>
    </w:p>
    <w:p>
      <w:pPr>
        <w:ind w:left="340" w:hanging="340"/>
      </w:pPr>
      <w:r>
        <w:rPr>
          <w:b/>
        </w:rPr>
        <w:t xml:space="preserve">5.2  </w:t>
      </w:r>
      <w:r>
        <w:t>Delay or denial of access by the Client or the venue that stops the Caterer from starting on time extends the Caterer's deadlines. Extra labour or fuel caused by it is charged at cost plus ____ %.</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Ask the venue for its catering rules before you sign: some banquet halls insist on their in-house kitchen, charge an outside-caterer fee, or forbid LPG. A live dosa counter can pull 3 to 5 kW; check the hall's supply and whether a generator is allowed. Get the permit conditions in writing.</w:t>
      </w:r>
    </w:p>
    <w:p>
      <w:pPr>
        <w:pStyle w:val="Heading2"/>
      </w:pPr>
      <w:r>
        <w:t>6. Price, GST and payment</w:t>
      </w:r>
    </w:p>
    <w:p>
      <w:pPr>
        <w:ind w:left="340" w:hanging="340"/>
      </w:pPr>
      <w:r>
        <w:rPr>
          <w:b/>
        </w:rPr>
        <w:t xml:space="preserve">6.1  </w:t>
      </w:r>
      <w:r>
        <w:t>The price is set out in Schedule B and is stated before GST. Catering is charged at the GST rate applicable on the invoice date: 5% (2.5% CGST + 2.5% SGST, or 5% IGST) without input tax credit at ordinary venues, and 18% with credit only where the Event is at specified premises. Decor, DJ, tent hire and other services the Caterer arranges as separate services are charged at the rate for that service.</w:t>
      </w:r>
    </w:p>
    <w:p>
      <w:pPr>
        <w:ind w:left="340" w:hanging="340"/>
      </w:pPr>
      <w:r>
        <w:rPr>
          <w:b/>
        </w:rPr>
        <w:t xml:space="preserve">6.2  </w:t>
      </w:r>
      <w:r>
        <w:t>The Caterer will issue a receipt voucher for every payment on the day it is received and a tax invoice with the FSSAI licence number for the final bill. Payments are due on the dates in Schedule B. Overdue sums carry interest at ____ % per month.</w:t>
      </w:r>
    </w:p>
    <w:p>
      <w:pPr>
        <w:ind w:left="340" w:hanging="340"/>
      </w:pPr>
      <w:r>
        <w:rPr>
          <w:b/>
        </w:rPr>
        <w:t xml:space="preserve">6.3  </w:t>
      </w:r>
      <w:r>
        <w:t>If the Client must deduct tax at source, it will deduct only what the law requires on the value excluding GST, deposit it on time and provide the certificate.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The place of supply for catering is where the food is served. A Delhi caterer serving a wedding in Jaipur bills IGST at 5%, not CGST and SGST. On a INR 5,09,000 taxable bill that is INR 25,450 either way, so the total does not change, but the box that carries the tax does. TDS under Section 194C at 2 percent (1 percent for individuals and HUFs) applies to corporate payers above the threshold and is computed on the value before GST when GST is shown separately.</w:t>
      </w:r>
    </w:p>
    <w:p>
      <w:pPr>
        <w:pStyle w:val="Heading2"/>
      </w:pPr>
      <w:r>
        <w:t>7. Cancellation, postponement and reduction</w:t>
      </w:r>
    </w:p>
    <w:p>
      <w:pPr>
        <w:ind w:left="340" w:hanging="340"/>
      </w:pPr>
      <w:r>
        <w:rPr>
          <w:b/>
        </w:rPr>
        <w:t xml:space="preserve">7.1  </w:t>
      </w:r>
      <w:r>
        <w:t>If the Client cancels, the Caterer keeps the share of the contract value stated in Schedule C for the period in which the cancellation notice reaches the Caterer, and refunds the rest of what has been paid. Notice must be written (e-mail or WhatsApp to the contact in the Key terms).</w:t>
      </w:r>
    </w:p>
    <w:p>
      <w:pPr>
        <w:ind w:left="340" w:hanging="340"/>
      </w:pPr>
      <w:r>
        <w:rPr>
          <w:b/>
        </w:rPr>
        <w:t xml:space="preserve">7.2  </w:t>
      </w:r>
      <w:r>
        <w:t>The parties agree that the Schedule C shares are a fair pre-estimate of the Caterer's loss from raw material commitments, staff and vehicle bookings, and the loss of an otherwise saleable date. The Caterer will show supporting purchase or booking records on request.</w:t>
      </w:r>
    </w:p>
    <w:p>
      <w:pPr>
        <w:ind w:left="340" w:hanging="340"/>
      </w:pPr>
      <w:r>
        <w:rPr>
          <w:b/>
        </w:rPr>
        <w:t xml:space="preserve">7.3  </w:t>
      </w:r>
      <w:r>
        <w:t>The Client may postpone once, without charge, to a date within ____ days of the original date if the Caterer is free that day; otherwise the postponement is treated as a cancellation and a new booking.</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Section 74 of the Indian Contract Act lets the court award reasonable compensation up to the amount named in the contract, not the whole named amount as of right. That is why Schedule C ties each slab to real commitments, and why you should keep purchase orders. A worked example on INR 4,60,000: at 20 days before the event the retained share is 60 percent, INR 2,76,000 plus GST; at 5 days, 100 percent. Whether GST is due on the retained amount is a question for your CA.</w:t>
      </w:r>
    </w:p>
    <w:p>
      <w:pPr>
        <w:pStyle w:val="Heading2"/>
      </w:pPr>
      <w:r>
        <w:t>8. Food safety and licences</w:t>
      </w:r>
    </w:p>
    <w:p>
      <w:pPr>
        <w:ind w:left="340" w:hanging="340"/>
      </w:pPr>
      <w:r>
        <w:rPr>
          <w:b/>
        </w:rPr>
        <w:t xml:space="preserve">8.1  </w:t>
      </w:r>
      <w:r>
        <w:t>The Caterer holds an FSSAI licence with the number shown in the Key terms, prints it on every invoice and voucher, and will follow the hygiene practices required by law for preparation, transport, holding and service of food.</w:t>
      </w:r>
    </w:p>
    <w:p>
      <w:pPr>
        <w:ind w:left="340" w:hanging="340"/>
      </w:pPr>
      <w:r>
        <w:rPr>
          <w:b/>
        </w:rPr>
        <w:t xml:space="preserve">8.2  </w:t>
      </w:r>
      <w:r>
        <w:t>The Client will tell the Caterer of allergens and dietary rules (Jain, no onion or garlic, vegetarian sections) in writing by the Freeze Date. The Caterer is not responsible for food brought in by the Client or third parties.</w:t>
      </w:r>
    </w:p>
    <w:p>
      <w:pPr>
        <w:ind w:left="340" w:hanging="340"/>
      </w:pPr>
      <w:r>
        <w:rPr>
          <w:b/>
        </w:rPr>
        <w:t xml:space="preserve">8.3  </w:t>
      </w:r>
      <w:r>
        <w:t>Cooked food is held and served within the time and temperature limits followed by the Caterer. Food left at the end of service is not for take-away by guests unless the Caterer agrees in writing, because the Caterer cannot vouch for it after service.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The FSSAI licence or registration number must appear on every invoice, cash memo and bill a food business issues, and on advance vouchers too. Missing it is an easy compliance gap that an inspector or a corporate client's accounts team will notice.</w:t>
      </w:r>
    </w:p>
    <w:p>
      <w:pPr>
        <w:pStyle w:val="Heading2"/>
      </w:pPr>
      <w:r>
        <w:t>9. Equipment, breakage and return</w:t>
      </w:r>
    </w:p>
    <w:p>
      <w:pPr>
        <w:ind w:left="340" w:hanging="340"/>
      </w:pPr>
      <w:r>
        <w:rPr>
          <w:b/>
        </w:rPr>
        <w:t xml:space="preserve">9.1  </w:t>
      </w:r>
      <w:r>
        <w:t>Crockery, cutlery, chafing dishes, counters and other items the Caterer brings remain the Caterer's property. The parties will count the main items on delivery and at pick-up.</w:t>
      </w:r>
    </w:p>
    <w:p>
      <w:pPr>
        <w:ind w:left="340" w:hanging="340"/>
      </w:pPr>
      <w:r>
        <w:rPr>
          <w:b/>
        </w:rPr>
        <w:t xml:space="preserve">9.2  </w:t>
      </w:r>
      <w:r>
        <w:t>Loss or damage beyond normal use caused by guests or venue staff is charged at the replacement values in Schedule A, on a damage report signed by the Client's representative before the Caterer's crew leaves.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signed damage report at the venue gate is the only thing that makes a breakage line collectable. Photograph the damage against the bill number. Seven glass bowls at INR 150 is INR 1,050; not worth a fight without paper, worth including with paper.</w:t>
      </w:r>
    </w:p>
    <w:p>
      <w:pPr>
        <w:pStyle w:val="Heading2"/>
      </w:pPr>
      <w:r>
        <w:t>10. Force majeure and impossibility</w:t>
      </w:r>
    </w:p>
    <w:p>
      <w:pPr>
        <w:ind w:left="340" w:hanging="340"/>
      </w:pPr>
      <w:r>
        <w:rPr>
          <w:b/>
        </w:rPr>
        <w:t xml:space="preserve">10.1  </w:t>
      </w:r>
      <w:r>
        <w:t>Neither party is liable for delay or failure caused by events beyond reasonable control that make performance impossible or unlawful, such as natural calamity, fire, government orders closing the venue or restricting gatherings, or a death in the immediate family of the Client that leads to the Event being called off.</w:t>
      </w:r>
    </w:p>
    <w:p>
      <w:pPr>
        <w:ind w:left="340" w:hanging="340"/>
      </w:pPr>
      <w:r>
        <w:rPr>
          <w:b/>
        </w:rPr>
        <w:t xml:space="preserve">10.2  </w:t>
      </w:r>
      <w:r>
        <w:t>If a force majeure event prevents the Event, the Caterer keeps the actual, documented costs already incurred or committed, and refunds the rest of the payments received. The parties will try in good faith to reschedule.</w:t>
      </w:r>
    </w:p>
    <w:p>
      <w:pPr>
        <w:ind w:left="340" w:hanging="340"/>
      </w:pPr>
      <w:r>
        <w:rPr>
          <w:b/>
        </w:rPr>
        <w:t xml:space="preserve">10.3  </w:t>
      </w:r>
      <w:r>
        <w:t>A rise in prices, a change of mind, or a dispute between the Client and the venue is not force majeure.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Without a clause, you fall back on Section 56 of the Contract Act, where a contract becomes void if performance becomes impossible, and courts read that narrowly. Spell out the events you accept and the money consequence. The "documented costs" test is fairer to a family in mourning than a flat forfeiture, and is easier to defend.</w:t>
      </w:r>
    </w:p>
    <w:p>
      <w:pPr>
        <w:pStyle w:val="Heading2"/>
      </w:pPr>
      <w:r>
        <w:t>11. Liability</w:t>
      </w:r>
    </w:p>
    <w:p>
      <w:pPr>
        <w:ind w:left="340" w:hanging="340"/>
      </w:pPr>
      <w:r>
        <w:rPr>
          <w:b/>
        </w:rPr>
        <w:t xml:space="preserve">11.1  </w:t>
      </w:r>
      <w:r>
        <w:t>The Caterer's liability under this Agreement is limited to the fees paid for the Event, except for loss caused by the Caterer's gross negligence or wilful default. Neither party is liable for indirect or consequential loss.</w:t>
      </w:r>
    </w:p>
    <w:p>
      <w:pPr>
        <w:ind w:left="340" w:hanging="340"/>
      </w:pPr>
      <w:r>
        <w:rPr>
          <w:b/>
        </w:rPr>
        <w:t xml:space="preserve">11.2  </w:t>
      </w:r>
      <w:r>
        <w:t>The Caterer holds ____________ insurance (if any) and will show the policy on request.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Do not promise cover you do not have. If a client insists on public liability insurance for a corporate event, quote the premium as a separate line.</w:t>
      </w:r>
    </w:p>
    <w:p>
      <w:pPr>
        <w:pStyle w:val="Heading2"/>
      </w:pPr>
      <w:r>
        <w:t>12. Notices, disputes and jurisdiction</w:t>
      </w:r>
    </w:p>
    <w:p>
      <w:pPr>
        <w:ind w:left="340" w:hanging="340"/>
      </w:pPr>
      <w:r>
        <w:rPr>
          <w:b/>
        </w:rPr>
        <w:t xml:space="preserve">12.1  </w:t>
      </w:r>
      <w:r>
        <w:t>Notices may be sent by e-mail or WhatsApp to the contacts in the Key terms and are effective on delivery.</w:t>
      </w:r>
    </w:p>
    <w:p>
      <w:pPr>
        <w:ind w:left="340" w:hanging="340"/>
      </w:pPr>
      <w:r>
        <w:rPr>
          <w:b/>
        </w:rPr>
        <w:t xml:space="preserve">12.2  </w:t>
      </w:r>
      <w:r>
        <w:t>Any issue on the Event day is written on the change and dispute log and initialled by both sides at the time. Other disputes are first discussed between the parties for 7 days. If unresolved, the courts at ______________ have jurisdiction and the parties will consider mediation before filing.</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dispute log initialled at 9 pm is worth more than a WhatsApp message at 2 am. Choose the city where you operate for jurisdiction.</w:t>
      </w:r>
    </w:p>
    <w:p>
      <w:pPr>
        <w:pStyle w:val="Heading2"/>
      </w:pPr>
      <w:r>
        <w:t>13. General</w:t>
      </w:r>
    </w:p>
    <w:p>
      <w:pPr>
        <w:ind w:left="340" w:hanging="340"/>
      </w:pPr>
      <w:r>
        <w:rPr>
          <w:b/>
        </w:rPr>
        <w:t xml:space="preserve">13.1  </w:t>
      </w:r>
      <w:r>
        <w:t>This Agreement, with its Schedules and signed sheets, is the entire agreement. Changes are valid only in writing signed or sent by e-mail or WhatsApp from the named contacts.</w:t>
      </w:r>
    </w:p>
    <w:p>
      <w:pPr>
        <w:ind w:left="340" w:hanging="340"/>
      </w:pPr>
      <w:r>
        <w:rPr>
          <w:b/>
        </w:rPr>
        <w:t xml:space="preserve">13.2  </w:t>
      </w:r>
      <w:r>
        <w:t>The Agreement is to be stamped as required by the law of the state where it is signed. Each party keeps a signed copy.</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Stamp duty on service agreements varies by state and is usually modest. An unstamped agreement can generally still be used in evidence after paying the deficit and a penalty, so treat stamping as housekeeping rather than a reason to delay.</w:t>
      </w:r>
    </w:p>
    <w:p>
      <w:pPr>
        <w:pStyle w:val="Heading1"/>
      </w:pPr>
      <w:r>
        <w:t>Schedule A: Menu and scope</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041"/>
            <w:shd w:val="clear" w:color="auto" w:fill="0B1B4B"/>
          </w:tcPr>
          <w:p>
            <w:pPr>
              <w:spacing w:after="40"/>
            </w:pPr>
            <w:r/>
            <w:r>
              <w:rPr>
                <w:b/>
                <w:color w:val="FFFFFF"/>
                <w:sz w:val="19"/>
              </w:rPr>
              <w:t>Course / counter</w:t>
            </w:r>
          </w:p>
        </w:tc>
        <w:tc>
          <w:tcPr>
            <w:tcW w:type="dxa" w:w="3628"/>
            <w:shd w:val="clear" w:color="auto" w:fill="0B1B4B"/>
          </w:tcPr>
          <w:p>
            <w:pPr>
              <w:spacing w:after="40"/>
            </w:pPr>
            <w:r/>
            <w:r>
              <w:rPr>
                <w:b/>
                <w:color w:val="FFFFFF"/>
                <w:sz w:val="19"/>
              </w:rPr>
              <w:t>Dishes (list every item)</w:t>
            </w:r>
          </w:p>
        </w:tc>
        <w:tc>
          <w:tcPr>
            <w:tcW w:type="dxa" w:w="1814"/>
            <w:shd w:val="clear" w:color="auto" w:fill="0B1B4B"/>
          </w:tcPr>
          <w:p>
            <w:pPr>
              <w:spacing w:after="40"/>
            </w:pPr>
            <w:r/>
            <w:r>
              <w:rPr>
                <w:b/>
                <w:color w:val="FFFFFF"/>
                <w:sz w:val="19"/>
              </w:rPr>
              <w:t>Qty or portion</w:t>
            </w:r>
          </w:p>
        </w:tc>
        <w:tc>
          <w:tcPr>
            <w:tcW w:type="dxa" w:w="2154"/>
            <w:shd w:val="clear" w:color="auto" w:fill="0B1B4B"/>
          </w:tcPr>
          <w:p>
            <w:pPr>
              <w:spacing w:after="40"/>
            </w:pPr>
            <w:r/>
            <w:r>
              <w:rPr>
                <w:b/>
                <w:color w:val="FFFFFF"/>
                <w:sz w:val="19"/>
              </w:rPr>
              <w:t>Notes</w:t>
            </w:r>
          </w:p>
        </w:tc>
      </w:tr>
      <w:tr>
        <w:tc>
          <w:tcPr>
            <w:tcW w:type="dxa" w:w="2041"/>
          </w:tcPr>
          <w:p>
            <w:pPr>
              <w:spacing w:after="40"/>
            </w:pPr>
            <w:r/>
            <w:r>
              <w:rPr>
                <w:sz w:val="19"/>
              </w:rPr>
              <w:t>Welcome drinks</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Starters (veg)</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Live counters</w:t>
            </w:r>
          </w:p>
        </w:tc>
        <w:tc>
          <w:tcPr>
            <w:tcW w:type="dxa" w:w="3628"/>
          </w:tcPr>
          <w:p>
            <w:pPr>
              <w:spacing w:after="40"/>
            </w:pPr>
            <w:r/>
            <w:r>
              <w:rPr>
                <w:sz w:val="19"/>
              </w:rPr>
            </w:r>
          </w:p>
        </w:tc>
        <w:tc>
          <w:tcPr>
            <w:tcW w:type="dxa" w:w="1814"/>
          </w:tcPr>
          <w:p>
            <w:pPr>
              <w:spacing w:after="40"/>
            </w:pPr>
            <w:r/>
            <w:r>
              <w:rPr>
                <w:sz w:val="19"/>
              </w:rPr>
              <w:t>____ counters</w:t>
            </w:r>
          </w:p>
        </w:tc>
        <w:tc>
          <w:tcPr>
            <w:tcW w:type="dxa" w:w="2154"/>
          </w:tcPr>
          <w:p>
            <w:pPr>
              <w:spacing w:after="40"/>
            </w:pPr>
            <w:r/>
            <w:r>
              <w:rPr>
                <w:sz w:val="19"/>
              </w:rPr>
              <w:t>Power: ____ kW</w:t>
            </w:r>
          </w:p>
        </w:tc>
      </w:tr>
      <w:tr>
        <w:tc>
          <w:tcPr>
            <w:tcW w:type="dxa" w:w="2041"/>
          </w:tcPr>
          <w:p>
            <w:pPr>
              <w:spacing w:after="40"/>
            </w:pPr>
            <w:r/>
            <w:r>
              <w:rPr>
                <w:sz w:val="19"/>
              </w:rPr>
              <w:t>Main course</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Breads and rice</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Desserts</w:t>
            </w:r>
          </w:p>
        </w:tc>
        <w:tc>
          <w:tcPr>
            <w:tcW w:type="dxa" w:w="3628"/>
          </w:tcPr>
          <w:p>
            <w:pPr>
              <w:spacing w:after="40"/>
            </w:pPr>
            <w:r/>
            <w:r>
              <w:rPr>
                <w:sz w:val="19"/>
              </w:rPr>
            </w:r>
          </w:p>
        </w:tc>
        <w:tc>
          <w:tcPr>
            <w:tcW w:type="dxa" w:w="1814"/>
          </w:tcPr>
          <w:p>
            <w:pPr>
              <w:spacing w:after="40"/>
            </w:pPr>
            <w:r/>
            <w:r>
              <w:rPr>
                <w:sz w:val="19"/>
              </w:rPr>
            </w:r>
          </w:p>
        </w:tc>
        <w:tc>
          <w:tcPr>
            <w:tcW w:type="dxa" w:w="2154"/>
          </w:tcPr>
          <w:p>
            <w:pPr>
              <w:spacing w:after="40"/>
            </w:pPr>
            <w:r/>
            <w:r>
              <w:rPr>
                <w:sz w:val="19"/>
              </w:rPr>
            </w:r>
          </w:p>
        </w:tc>
      </w:tr>
      <w:tr>
        <w:tc>
          <w:tcPr>
            <w:tcW w:type="dxa" w:w="2041"/>
          </w:tcPr>
          <w:p>
            <w:pPr>
              <w:spacing w:after="40"/>
            </w:pPr>
            <w:r/>
            <w:r>
              <w:rPr>
                <w:sz w:val="19"/>
              </w:rPr>
              <w:t>Staff and crockery</w:t>
            </w:r>
          </w:p>
        </w:tc>
        <w:tc>
          <w:tcPr>
            <w:tcW w:type="dxa" w:w="3628"/>
          </w:tcPr>
          <w:p>
            <w:pPr>
              <w:spacing w:after="40"/>
            </w:pPr>
            <w:r/>
            <w:r>
              <w:rPr>
                <w:sz w:val="19"/>
              </w:rPr>
              <w:t>Staff ____ ; captains ____ ; crockery sets ____</w:t>
            </w:r>
          </w:p>
        </w:tc>
        <w:tc>
          <w:tcPr>
            <w:tcW w:type="dxa" w:w="1814"/>
          </w:tcPr>
          <w:p>
            <w:pPr>
              <w:spacing w:after="40"/>
            </w:pPr>
            <w:r/>
            <w:r>
              <w:rPr>
                <w:sz w:val="19"/>
              </w:rPr>
            </w:r>
          </w:p>
        </w:tc>
        <w:tc>
          <w:tcPr>
            <w:tcW w:type="dxa" w:w="2154"/>
          </w:tcPr>
          <w:p>
            <w:pPr>
              <w:spacing w:after="40"/>
            </w:pPr>
            <w:r/>
            <w:r>
              <w:rPr>
                <w:sz w:val="19"/>
              </w:rPr>
              <w:t>Replacement values: ____</w:t>
            </w:r>
          </w:p>
        </w:tc>
      </w:tr>
    </w:tbl>
    <w:p>
      <w:pPr>
        <w:spacing w:after="40"/>
      </w:pPr>
    </w:p>
    <w:p>
      <w:pPr>
        <w:pStyle w:val="Heading1"/>
      </w:pPr>
      <w:r>
        <w:t>Schedule B: Price and payments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742"/>
            <w:shd w:val="clear" w:color="auto" w:fill="0B1B4B"/>
          </w:tcPr>
          <w:p>
            <w:pPr>
              <w:spacing w:after="40"/>
            </w:pPr>
            <w:r/>
            <w:r>
              <w:rPr>
                <w:b/>
                <w:color w:val="FFFFFF"/>
                <w:sz w:val="19"/>
              </w:rPr>
              <w:t>Item</w:t>
            </w:r>
          </w:p>
        </w:tc>
        <w:tc>
          <w:tcPr>
            <w:tcW w:type="dxa" w:w="1361"/>
            <w:shd w:val="clear" w:color="auto" w:fill="0B1B4B"/>
          </w:tcPr>
          <w:p>
            <w:pPr>
              <w:spacing w:after="40"/>
            </w:pPr>
            <w:r/>
            <w:r>
              <w:rPr>
                <w:b/>
                <w:color w:val="FFFFFF"/>
                <w:sz w:val="19"/>
              </w:rPr>
              <w:t>Qty</w:t>
            </w:r>
          </w:p>
        </w:tc>
        <w:tc>
          <w:tcPr>
            <w:tcW w:type="dxa" w:w="2041"/>
            <w:shd w:val="clear" w:color="auto" w:fill="0B1B4B"/>
          </w:tcPr>
          <w:p>
            <w:pPr>
              <w:spacing w:after="40"/>
            </w:pPr>
            <w:r/>
            <w:r>
              <w:rPr>
                <w:b/>
                <w:color w:val="FFFFFF"/>
                <w:sz w:val="19"/>
              </w:rPr>
              <w:t>Rate (INR)</w:t>
            </w:r>
          </w:p>
        </w:tc>
        <w:tc>
          <w:tcPr>
            <w:tcW w:type="dxa" w:w="2494"/>
            <w:shd w:val="clear" w:color="auto" w:fill="0B1B4B"/>
          </w:tcPr>
          <w:p>
            <w:pPr>
              <w:spacing w:after="40"/>
            </w:pPr>
            <w:r/>
            <w:r>
              <w:rPr>
                <w:b/>
                <w:color w:val="FFFFFF"/>
                <w:sz w:val="19"/>
              </w:rPr>
              <w:t>Amount (INR)</w:t>
            </w:r>
          </w:p>
        </w:tc>
      </w:tr>
      <w:tr>
        <w:tc>
          <w:tcPr>
            <w:tcW w:type="dxa" w:w="3742"/>
          </w:tcPr>
          <w:p>
            <w:pPr>
              <w:spacing w:after="40"/>
            </w:pPr>
            <w:r/>
            <w:r>
              <w:rPr>
                <w:sz w:val="19"/>
              </w:rPr>
              <w:t>MG plates</w:t>
            </w:r>
          </w:p>
        </w:tc>
        <w:tc>
          <w:tcPr>
            <w:tcW w:type="dxa" w:w="1361"/>
          </w:tcPr>
          <w:p>
            <w:pPr>
              <w:spacing w:after="40"/>
            </w:pPr>
            <w:r/>
            <w:r>
              <w:rPr>
                <w:sz w:val="19"/>
              </w:rPr>
              <w:t>____</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Live counters</w:t>
            </w:r>
          </w:p>
        </w:tc>
        <w:tc>
          <w:tcPr>
            <w:tcW w:type="dxa" w:w="1361"/>
          </w:tcPr>
          <w:p>
            <w:pPr>
              <w:spacing w:after="40"/>
            </w:pPr>
            <w:r/>
            <w:r>
              <w:rPr>
                <w:sz w:val="19"/>
              </w:rPr>
              <w:t>____</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Service crew (lump sum)</w:t>
            </w:r>
          </w:p>
        </w:tc>
        <w:tc>
          <w:tcPr>
            <w:tcW w:type="dxa" w:w="1361"/>
          </w:tcPr>
          <w:p>
            <w:pPr>
              <w:spacing w:after="40"/>
            </w:pPr>
            <w:r/>
            <w:r>
              <w:rPr>
                <w:sz w:val="19"/>
              </w:rPr>
              <w:t>1</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Transport / outstation</w:t>
            </w:r>
          </w:p>
        </w:tc>
        <w:tc>
          <w:tcPr>
            <w:tcW w:type="dxa" w:w="1361"/>
          </w:tcPr>
          <w:p>
            <w:pPr>
              <w:spacing w:after="40"/>
            </w:pPr>
            <w:r/>
            <w:r>
              <w:rPr>
                <w:sz w:val="19"/>
              </w:rPr>
              <w:t>1</w:t>
            </w:r>
          </w:p>
        </w:tc>
        <w:tc>
          <w:tcPr>
            <w:tcW w:type="dxa" w:w="2041"/>
          </w:tcPr>
          <w:p>
            <w:pPr>
              <w:spacing w:after="40"/>
            </w:pPr>
            <w:r/>
            <w:r>
              <w:rPr>
                <w:sz w:val="19"/>
              </w:rPr>
              <w:t>________</w:t>
            </w:r>
          </w:p>
        </w:tc>
        <w:tc>
          <w:tcPr>
            <w:tcW w:type="dxa" w:w="2494"/>
          </w:tcPr>
          <w:p>
            <w:pPr>
              <w:spacing w:after="40"/>
            </w:pPr>
            <w:r/>
            <w:r>
              <w:rPr>
                <w:sz w:val="19"/>
              </w:rPr>
              <w:t>__________</w:t>
            </w:r>
          </w:p>
        </w:tc>
      </w:tr>
      <w:tr>
        <w:tc>
          <w:tcPr>
            <w:tcW w:type="dxa" w:w="3742"/>
          </w:tcPr>
          <w:p>
            <w:pPr>
              <w:spacing w:after="40"/>
            </w:pPr>
            <w:r/>
            <w:r>
              <w:rPr>
                <w:sz w:val="19"/>
              </w:rPr>
              <w:t>Total before GST</w:t>
            </w:r>
          </w:p>
        </w:tc>
        <w:tc>
          <w:tcPr>
            <w:tcW w:type="dxa" w:w="1361"/>
          </w:tcPr>
          <w:p>
            <w:pPr>
              <w:spacing w:after="40"/>
            </w:pPr>
            <w:r/>
            <w:r>
              <w:rPr>
                <w:sz w:val="19"/>
              </w:rPr>
            </w:r>
          </w:p>
        </w:tc>
        <w:tc>
          <w:tcPr>
            <w:tcW w:type="dxa" w:w="2041"/>
          </w:tcPr>
          <w:p>
            <w:pPr>
              <w:spacing w:after="40"/>
            </w:pPr>
            <w:r/>
            <w:r>
              <w:rPr>
                <w:sz w:val="19"/>
              </w:rPr>
            </w:r>
          </w:p>
        </w:tc>
        <w:tc>
          <w:tcPr>
            <w:tcW w:type="dxa" w:w="2494"/>
          </w:tcPr>
          <w:p>
            <w:pPr>
              <w:spacing w:after="40"/>
            </w:pPr>
            <w:r/>
            <w:r>
              <w:rPr>
                <w:sz w:val="19"/>
              </w:rPr>
              <w:t>__________</w:t>
            </w:r>
          </w:p>
        </w:tc>
      </w:tr>
      <w:tr>
        <w:tc>
          <w:tcPr>
            <w:tcW w:type="dxa" w:w="3742"/>
          </w:tcPr>
          <w:p>
            <w:pPr>
              <w:spacing w:after="40"/>
            </w:pPr>
            <w:r/>
            <w:r>
              <w:rPr>
                <w:sz w:val="19"/>
              </w:rPr>
              <w:t>GST at ____ %</w:t>
            </w:r>
          </w:p>
        </w:tc>
        <w:tc>
          <w:tcPr>
            <w:tcW w:type="dxa" w:w="1361"/>
          </w:tcPr>
          <w:p>
            <w:pPr>
              <w:spacing w:after="40"/>
            </w:pPr>
            <w:r/>
            <w:r>
              <w:rPr>
                <w:sz w:val="19"/>
              </w:rPr>
            </w:r>
          </w:p>
        </w:tc>
        <w:tc>
          <w:tcPr>
            <w:tcW w:type="dxa" w:w="2041"/>
          </w:tcPr>
          <w:p>
            <w:pPr>
              <w:spacing w:after="40"/>
            </w:pPr>
            <w:r/>
            <w:r>
              <w:rPr>
                <w:sz w:val="19"/>
              </w:rPr>
            </w:r>
          </w:p>
        </w:tc>
        <w:tc>
          <w:tcPr>
            <w:tcW w:type="dxa" w:w="2494"/>
          </w:tcPr>
          <w:p>
            <w:pPr>
              <w:spacing w:after="40"/>
            </w:pPr>
            <w:r/>
            <w:r>
              <w:rPr>
                <w:sz w:val="19"/>
              </w:rPr>
              <w:t>__________</w:t>
            </w:r>
          </w:p>
        </w:tc>
      </w:tr>
      <w:tr>
        <w:tc>
          <w:tcPr>
            <w:tcW w:type="dxa" w:w="3742"/>
          </w:tcPr>
          <w:p>
            <w:pPr>
              <w:spacing w:after="40"/>
            </w:pPr>
            <w:r/>
            <w:r>
              <w:rPr>
                <w:sz w:val="19"/>
              </w:rPr>
              <w:t>Contract value</w:t>
            </w:r>
          </w:p>
        </w:tc>
        <w:tc>
          <w:tcPr>
            <w:tcW w:type="dxa" w:w="1361"/>
          </w:tcPr>
          <w:p>
            <w:pPr>
              <w:spacing w:after="40"/>
            </w:pPr>
            <w:r/>
            <w:r>
              <w:rPr>
                <w:sz w:val="19"/>
              </w:rPr>
            </w:r>
          </w:p>
        </w:tc>
        <w:tc>
          <w:tcPr>
            <w:tcW w:type="dxa" w:w="2041"/>
          </w:tcPr>
          <w:p>
            <w:pPr>
              <w:spacing w:after="40"/>
            </w:pPr>
            <w:r/>
            <w:r>
              <w:rPr>
                <w:sz w:val="19"/>
              </w:rPr>
            </w:r>
          </w:p>
        </w:tc>
        <w:tc>
          <w:tcPr>
            <w:tcW w:type="dxa" w:w="2494"/>
          </w:tcPr>
          <w:p>
            <w:pPr>
              <w:spacing w:after="40"/>
            </w:pPr>
            <w:r/>
            <w:r>
              <w:rPr>
                <w:sz w:val="19"/>
              </w:rPr>
              <w:t>__________</w:t>
            </w:r>
          </w:p>
        </w:tc>
      </w:tr>
    </w:tbl>
    <w:p>
      <w:pPr>
        <w:spacing w:after="40"/>
      </w:pP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061"/>
            <w:shd w:val="clear" w:color="auto" w:fill="0B1B4B"/>
          </w:tcPr>
          <w:p>
            <w:pPr>
              <w:spacing w:after="40"/>
            </w:pPr>
            <w:r/>
            <w:r>
              <w:rPr>
                <w:b/>
                <w:color w:val="FFFFFF"/>
                <w:sz w:val="19"/>
              </w:rPr>
              <w:t>Milestone</w:t>
            </w:r>
          </w:p>
        </w:tc>
        <w:tc>
          <w:tcPr>
            <w:tcW w:type="dxa" w:w="1361"/>
            <w:shd w:val="clear" w:color="auto" w:fill="0B1B4B"/>
          </w:tcPr>
          <w:p>
            <w:pPr>
              <w:spacing w:after="40"/>
            </w:pPr>
            <w:r/>
            <w:r>
              <w:rPr>
                <w:b/>
                <w:color w:val="FFFFFF"/>
                <w:sz w:val="19"/>
              </w:rPr>
              <w:t>Share</w:t>
            </w:r>
          </w:p>
        </w:tc>
        <w:tc>
          <w:tcPr>
            <w:tcW w:type="dxa" w:w="2835"/>
            <w:shd w:val="clear" w:color="auto" w:fill="0B1B4B"/>
          </w:tcPr>
          <w:p>
            <w:pPr>
              <w:spacing w:after="40"/>
            </w:pPr>
            <w:r/>
            <w:r>
              <w:rPr>
                <w:b/>
                <w:color w:val="FFFFFF"/>
                <w:sz w:val="19"/>
              </w:rPr>
              <w:t>Due</w:t>
            </w:r>
          </w:p>
        </w:tc>
        <w:tc>
          <w:tcPr>
            <w:tcW w:type="dxa" w:w="2381"/>
            <w:shd w:val="clear" w:color="auto" w:fill="0B1B4B"/>
          </w:tcPr>
          <w:p>
            <w:pPr>
              <w:spacing w:after="40"/>
            </w:pPr>
            <w:r/>
            <w:r>
              <w:rPr>
                <w:b/>
                <w:color w:val="FFFFFF"/>
                <w:sz w:val="19"/>
              </w:rPr>
              <w:t>Amount incl. GST (INR)</w:t>
            </w:r>
          </w:p>
        </w:tc>
      </w:tr>
      <w:tr>
        <w:tc>
          <w:tcPr>
            <w:tcW w:type="dxa" w:w="3061"/>
          </w:tcPr>
          <w:p>
            <w:pPr>
              <w:spacing w:after="40"/>
            </w:pPr>
            <w:r/>
            <w:r>
              <w:rPr>
                <w:sz w:val="19"/>
              </w:rPr>
              <w:t>Booking token</w:t>
            </w:r>
          </w:p>
        </w:tc>
        <w:tc>
          <w:tcPr>
            <w:tcW w:type="dxa" w:w="1361"/>
          </w:tcPr>
          <w:p>
            <w:pPr>
              <w:spacing w:after="40"/>
            </w:pPr>
            <w:r/>
            <w:r>
              <w:rPr>
                <w:sz w:val="19"/>
              </w:rPr>
              <w:t>____ %</w:t>
            </w:r>
          </w:p>
        </w:tc>
        <w:tc>
          <w:tcPr>
            <w:tcW w:type="dxa" w:w="2835"/>
          </w:tcPr>
          <w:p>
            <w:pPr>
              <w:spacing w:after="40"/>
            </w:pPr>
            <w:r/>
            <w:r>
              <w:rPr>
                <w:sz w:val="19"/>
              </w:rPr>
              <w:t>On signing</w:t>
            </w:r>
          </w:p>
        </w:tc>
        <w:tc>
          <w:tcPr>
            <w:tcW w:type="dxa" w:w="2381"/>
          </w:tcPr>
          <w:p>
            <w:pPr>
              <w:spacing w:after="40"/>
            </w:pPr>
            <w:r/>
            <w:r>
              <w:rPr>
                <w:sz w:val="19"/>
              </w:rPr>
              <w:t>__________</w:t>
            </w:r>
          </w:p>
        </w:tc>
      </w:tr>
      <w:tr>
        <w:tc>
          <w:tcPr>
            <w:tcW w:type="dxa" w:w="3061"/>
          </w:tcPr>
          <w:p>
            <w:pPr>
              <w:spacing w:after="40"/>
            </w:pPr>
            <w:r/>
            <w:r>
              <w:rPr>
                <w:sz w:val="19"/>
              </w:rPr>
              <w:t>Second payment</w:t>
            </w:r>
          </w:p>
        </w:tc>
        <w:tc>
          <w:tcPr>
            <w:tcW w:type="dxa" w:w="1361"/>
          </w:tcPr>
          <w:p>
            <w:pPr>
              <w:spacing w:after="40"/>
            </w:pPr>
            <w:r/>
            <w:r>
              <w:rPr>
                <w:sz w:val="19"/>
              </w:rPr>
              <w:t>____ %</w:t>
            </w:r>
          </w:p>
        </w:tc>
        <w:tc>
          <w:tcPr>
            <w:tcW w:type="dxa" w:w="2835"/>
          </w:tcPr>
          <w:p>
            <w:pPr>
              <w:spacing w:after="40"/>
            </w:pPr>
            <w:r/>
            <w:r>
              <w:rPr>
                <w:sz w:val="19"/>
              </w:rPr>
              <w:t>____ days before the Event</w:t>
            </w:r>
          </w:p>
        </w:tc>
        <w:tc>
          <w:tcPr>
            <w:tcW w:type="dxa" w:w="2381"/>
          </w:tcPr>
          <w:p>
            <w:pPr>
              <w:spacing w:after="40"/>
            </w:pPr>
            <w:r/>
            <w:r>
              <w:rPr>
                <w:sz w:val="19"/>
              </w:rPr>
              <w:t>__________</w:t>
            </w:r>
          </w:p>
        </w:tc>
      </w:tr>
      <w:tr>
        <w:tc>
          <w:tcPr>
            <w:tcW w:type="dxa" w:w="3061"/>
          </w:tcPr>
          <w:p>
            <w:pPr>
              <w:spacing w:after="40"/>
            </w:pPr>
            <w:r/>
            <w:r>
              <w:rPr>
                <w:sz w:val="19"/>
              </w:rPr>
              <w:t>Balance</w:t>
            </w:r>
          </w:p>
        </w:tc>
        <w:tc>
          <w:tcPr>
            <w:tcW w:type="dxa" w:w="1361"/>
          </w:tcPr>
          <w:p>
            <w:pPr>
              <w:spacing w:after="40"/>
            </w:pPr>
            <w:r/>
            <w:r>
              <w:rPr>
                <w:sz w:val="19"/>
              </w:rPr>
              <w:t>____ %</w:t>
            </w:r>
          </w:p>
        </w:tc>
        <w:tc>
          <w:tcPr>
            <w:tcW w:type="dxa" w:w="2835"/>
          </w:tcPr>
          <w:p>
            <w:pPr>
              <w:spacing w:after="40"/>
            </w:pPr>
            <w:r/>
            <w:r>
              <w:rPr>
                <w:sz w:val="19"/>
              </w:rPr>
              <w:t>On the Event day before service</w:t>
            </w:r>
          </w:p>
        </w:tc>
        <w:tc>
          <w:tcPr>
            <w:tcW w:type="dxa" w:w="2381"/>
          </w:tcPr>
          <w:p>
            <w:pPr>
              <w:spacing w:after="40"/>
            </w:pPr>
            <w:r/>
            <w:r>
              <w:rPr>
                <w:sz w:val="19"/>
              </w:rPr>
              <w:t>__________</w:t>
            </w:r>
          </w:p>
        </w:tc>
      </w:tr>
    </w:tbl>
    <w:p>
      <w:pPr>
        <w:spacing w:after="40"/>
      </w:pPr>
    </w:p>
    <w:p>
      <w:pPr>
        <w:pStyle w:val="Heading1"/>
      </w:pPr>
      <w:r>
        <w:t>Schedule C: Cancellation shares</w:t>
      </w:r>
    </w:p>
    <w:tbl>
      <w:tblPr>
        <w:tblStyle w:val="TableGrid"/>
        <w:tblW w:type="auto" w:w="0"/>
        <w:jc w:val="center"/>
        <w:tblLook w:firstColumn="1" w:firstRow="1" w:lastColumn="0" w:lastRow="0" w:noHBand="0" w:noVBand="1" w:val="04A0"/>
      </w:tblPr>
      <w:tblGrid>
        <w:gridCol w:w="4986"/>
        <w:gridCol w:w="4986"/>
      </w:tblGrid>
      <w:tr>
        <w:tc>
          <w:tcPr>
            <w:tcW w:type="dxa" w:w="4876"/>
            <w:shd w:val="clear" w:color="auto" w:fill="0B1B4B"/>
          </w:tcPr>
          <w:p>
            <w:pPr>
              <w:spacing w:after="40"/>
            </w:pPr>
            <w:r/>
            <w:r>
              <w:rPr>
                <w:b/>
                <w:color w:val="FFFFFF"/>
                <w:sz w:val="19"/>
              </w:rPr>
              <w:t>Notice reaches the Caterer</w:t>
            </w:r>
          </w:p>
        </w:tc>
        <w:tc>
          <w:tcPr>
            <w:tcW w:type="dxa" w:w="4762"/>
            <w:shd w:val="clear" w:color="auto" w:fill="0B1B4B"/>
          </w:tcPr>
          <w:p>
            <w:pPr>
              <w:spacing w:after="40"/>
            </w:pPr>
            <w:r/>
            <w:r>
              <w:rPr>
                <w:b/>
                <w:color w:val="FFFFFF"/>
                <w:sz w:val="19"/>
              </w:rPr>
              <w:t>Share of contract value retained</w:t>
            </w:r>
          </w:p>
        </w:tc>
      </w:tr>
      <w:tr>
        <w:tc>
          <w:tcPr>
            <w:tcW w:type="dxa" w:w="4876"/>
          </w:tcPr>
          <w:p>
            <w:pPr>
              <w:spacing w:after="40"/>
            </w:pPr>
            <w:r/>
            <w:r>
              <w:rPr>
                <w:sz w:val="19"/>
              </w:rPr>
              <w:t>____ days or more before the Event</w:t>
            </w:r>
          </w:p>
        </w:tc>
        <w:tc>
          <w:tcPr>
            <w:tcW w:type="dxa" w:w="4762"/>
          </w:tcPr>
          <w:p>
            <w:pPr>
              <w:spacing w:after="40"/>
            </w:pPr>
            <w:r/>
            <w:r>
              <w:rPr>
                <w:sz w:val="19"/>
              </w:rPr>
              <w:t>____ %</w:t>
            </w:r>
          </w:p>
        </w:tc>
      </w:tr>
      <w:tr>
        <w:tc>
          <w:tcPr>
            <w:tcW w:type="dxa" w:w="4876"/>
          </w:tcPr>
          <w:p>
            <w:pPr>
              <w:spacing w:after="40"/>
            </w:pPr>
            <w:r/>
            <w:r>
              <w:rPr>
                <w:sz w:val="19"/>
              </w:rPr>
              <w:t>____ to ____ days before</w:t>
            </w:r>
          </w:p>
        </w:tc>
        <w:tc>
          <w:tcPr>
            <w:tcW w:type="dxa" w:w="4762"/>
          </w:tcPr>
          <w:p>
            <w:pPr>
              <w:spacing w:after="40"/>
            </w:pPr>
            <w:r/>
            <w:r>
              <w:rPr>
                <w:sz w:val="19"/>
              </w:rPr>
              <w:t>____ %</w:t>
            </w:r>
          </w:p>
        </w:tc>
      </w:tr>
      <w:tr>
        <w:tc>
          <w:tcPr>
            <w:tcW w:type="dxa" w:w="4876"/>
          </w:tcPr>
          <w:p>
            <w:pPr>
              <w:spacing w:after="40"/>
            </w:pPr>
            <w:r/>
            <w:r>
              <w:rPr>
                <w:sz w:val="19"/>
              </w:rPr>
              <w:t>____ to ____ days before</w:t>
            </w:r>
          </w:p>
        </w:tc>
        <w:tc>
          <w:tcPr>
            <w:tcW w:type="dxa" w:w="4762"/>
          </w:tcPr>
          <w:p>
            <w:pPr>
              <w:spacing w:after="40"/>
            </w:pPr>
            <w:r/>
            <w:r>
              <w:rPr>
                <w:sz w:val="19"/>
              </w:rPr>
              <w:t>____ %</w:t>
            </w:r>
          </w:p>
        </w:tc>
      </w:tr>
      <w:tr>
        <w:tc>
          <w:tcPr>
            <w:tcW w:type="dxa" w:w="4876"/>
          </w:tcPr>
          <w:p>
            <w:pPr>
              <w:spacing w:after="40"/>
            </w:pPr>
            <w:r/>
            <w:r>
              <w:rPr>
                <w:sz w:val="19"/>
              </w:rPr>
              <w:t>____ to ____ days before</w:t>
            </w:r>
          </w:p>
        </w:tc>
        <w:tc>
          <w:tcPr>
            <w:tcW w:type="dxa" w:w="4762"/>
          </w:tcPr>
          <w:p>
            <w:pPr>
              <w:spacing w:after="40"/>
            </w:pPr>
            <w:r/>
            <w:r>
              <w:rPr>
                <w:sz w:val="19"/>
              </w:rPr>
              <w:t>____ %</w:t>
            </w:r>
          </w:p>
        </w:tc>
      </w:tr>
      <w:tr>
        <w:tc>
          <w:tcPr>
            <w:tcW w:type="dxa" w:w="4876"/>
          </w:tcPr>
          <w:p>
            <w:pPr>
              <w:spacing w:after="40"/>
            </w:pPr>
            <w:r/>
            <w:r>
              <w:rPr>
                <w:sz w:val="19"/>
              </w:rPr>
              <w:t>Fewer than ____ days before</w:t>
            </w:r>
          </w:p>
        </w:tc>
        <w:tc>
          <w:tcPr>
            <w:tcW w:type="dxa" w:w="4762"/>
          </w:tcPr>
          <w:p>
            <w:pPr>
              <w:spacing w:after="40"/>
            </w:pPr>
            <w:r/>
            <w:r>
              <w:rPr>
                <w:sz w:val="19"/>
              </w:rPr>
              <w:t>100 %</w:t>
            </w:r>
          </w:p>
        </w:tc>
      </w:tr>
    </w:tbl>
    <w:p>
      <w:pPr>
        <w:spacing w:after="40"/>
      </w:pPr>
    </w:p>
    <w:p>
      <w:pPr>
        <w:spacing w:after="200"/>
      </w:pPr>
      <w:r>
        <w:rPr>
          <w:b w:val="0"/>
          <w:i w:val="0"/>
        </w:rPr>
        <w:t>Signed on ____ / ____ / ________ at ______________</w:t>
      </w:r>
    </w:p>
    <w:tbl>
      <w:tblPr>
        <w:tblStyle w:val="TableGrid"/>
        <w:tblW w:type="auto" w:w="0"/>
        <w:jc w:val="center"/>
        <w:tblLook w:firstColumn="1" w:firstRow="1" w:lastColumn="0" w:lastRow="0" w:noHBand="0" w:noVBand="1" w:val="04A0"/>
      </w:tblPr>
      <w:tblGrid>
        <w:gridCol w:w="4986"/>
        <w:gridCol w:w="4986"/>
      </w:tblGrid>
      <w:tr>
        <w:tc>
          <w:tcPr>
            <w:tcW w:type="dxa" w:w="4819"/>
            <w:shd w:val="clear" w:color="auto" w:fill="0B1B4B"/>
          </w:tcPr>
          <w:p>
            <w:pPr>
              <w:spacing w:after="40"/>
            </w:pPr>
            <w:r/>
            <w:r>
              <w:rPr>
                <w:b/>
                <w:color w:val="FFFFFF"/>
                <w:sz w:val="19"/>
              </w:rPr>
              <w:t>For the Caterer</w:t>
            </w:r>
          </w:p>
        </w:tc>
        <w:tc>
          <w:tcPr>
            <w:tcW w:type="dxa" w:w="4819"/>
            <w:shd w:val="clear" w:color="auto" w:fill="0B1B4B"/>
          </w:tcPr>
          <w:p>
            <w:pPr>
              <w:spacing w:after="40"/>
            </w:pPr>
            <w:r/>
            <w:r>
              <w:rPr>
                <w:b/>
                <w:color w:val="FFFFFF"/>
                <w:sz w:val="19"/>
              </w:rPr>
              <w:t>For the Client</w:t>
            </w:r>
          </w:p>
        </w:tc>
      </w:tr>
      <w:tr>
        <w:tc>
          <w:tcPr>
            <w:tcW w:type="dxa" w:w="4819"/>
          </w:tcPr>
          <w:p>
            <w:pPr>
              <w:spacing w:after="40"/>
            </w:pPr>
            <w:r/>
            <w:r>
              <w:rPr>
                <w:sz w:val="19"/>
              </w:rPr>
              <w:t>Name: ____________  Signature: ____________  Stamp:</w:t>
            </w:r>
          </w:p>
        </w:tc>
        <w:tc>
          <w:tcPr>
            <w:tcW w:type="dxa" w:w="4819"/>
          </w:tcPr>
          <w:p>
            <w:pPr>
              <w:spacing w:after="40"/>
            </w:pPr>
            <w:r/>
            <w:r>
              <w:rPr>
                <w:sz w:val="19"/>
              </w:rPr>
              <w:t>Name: ____________  Signature: ____________</w:t>
            </w:r>
          </w:p>
        </w:tc>
      </w:tr>
      <w:tr>
        <w:tc>
          <w:tcPr>
            <w:tcW w:type="dxa" w:w="4819"/>
          </w:tcPr>
          <w:p>
            <w:pPr>
              <w:spacing w:after="40"/>
            </w:pPr>
            <w:r/>
            <w:r>
              <w:rPr>
                <w:sz w:val="19"/>
              </w:rPr>
              <w:t>Witness: ____________</w:t>
            </w:r>
          </w:p>
        </w:tc>
        <w:tc>
          <w:tcPr>
            <w:tcW w:type="dxa" w:w="4819"/>
          </w:tcPr>
          <w:p>
            <w:pPr>
              <w:spacing w:after="40"/>
            </w:pPr>
            <w:r/>
            <w:r>
              <w:rPr>
                <w:sz w:val="19"/>
              </w:rPr>
              <w:t>Witness: ____________</w:t>
            </w:r>
          </w:p>
        </w:tc>
      </w:tr>
    </w:tbl>
    <w:p>
      <w:pPr>
        <w:spacing w:after="40"/>
      </w:pPr>
    </w:p>
    <w:p>
      <w:pPr>
        <w:jc w:val="center"/>
      </w:pPr>
      <w:r>
        <w:rPr>
          <w:b w:val="0"/>
          <w:i/>
          <w:color w:val="556075"/>
          <w:sz w:val="17"/>
        </w:rPr>
        <w:t>Template published by Venura (venura.org). Not legal advice.</w:t>
      </w:r>
    </w:p>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075"/>
        <w:sz w:val="17"/>
      </w:rPr>
      <w:t xml:space="preserve">Wedding and event catering agreement (template)  |  Page </w:t>
    </w:r>
    <w:r>
      <w:rPr>
        <w:color w:val="556075"/>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Calibri" w:hAnsi="Calibri" w:eastAsia="Calibri"/>
      <w:b/>
      <w:bCs/>
      <w:color w:val="0B1B4B"/>
      <w:sz w:val="28"/>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Calibri" w:hAnsi="Calibri" w:eastAsia="Calibri"/>
      <w:b/>
      <w:bCs/>
      <w:color w:val="0B1B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and event catering agreement (template)</dc:title>
  <dc:subject/>
  <dc:creator>Venura</dc:creator>
  <cp:keywords/>
  <dc:description>generated by python-docx</dc:description>
  <cp:lastModifiedBy/>
  <cp:revision>1</cp:revision>
  <dcterms:created xsi:type="dcterms:W3CDTF">2013-12-23T23:15:00Z</dcterms:created>
  <dcterms:modified xsi:type="dcterms:W3CDTF">2013-12-23T23:15:00Z</dcterms:modified>
  <cp:category/>
</cp:coreProperties>
</file>