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E2A5A"/>
          <w:sz w:val="36"/>
        </w:rPr>
        <w:t>Banquet and Catering Software: Questions to Ask Every Vendor</w:t>
      </w:r>
    </w:p>
    <w:p>
      <w:r>
        <w:rPr>
          <w:i/>
        </w:rPr>
        <w:t>For Indian banquet halls, lawns and caterers comparing software, including tools built abroad. Send this to each vendor before the demo, ask for answers in writing, and keep the replies with your notes. Prices, tax rates and product details change, so date every answer.</w:t>
      </w:r>
    </w:p>
    <w:p>
      <w:r>
        <w:t>Vendor: ____________________    Contact: ____________________    Date of reply: ____________</w:t>
      </w:r>
    </w:p>
    <w:p>
      <w:r>
        <w:rPr>
          <w:b/>
          <w:color w:val="1E2A5A"/>
          <w:sz w:val="26"/>
        </w:rPr>
        <w:t>1. Fit for India</w:t>
      </w:r>
    </w:p>
    <w:tbl>
      <w:tblPr>
        <w:tblStyle w:val="TableGrid"/>
        <w:tblW w:type="auto" w:w="0"/>
        <w:tblLook w:firstColumn="1" w:firstRow="1" w:lastColumn="0" w:lastRow="0" w:noHBand="0" w:noVBand="1" w:val="04A0"/>
      </w:tblPr>
      <w:tblGrid>
        <w:gridCol w:w="2550"/>
        <w:gridCol w:w="2550"/>
        <w:gridCol w:w="2550"/>
        <w:gridCol w:w="2550"/>
      </w:tblGrid>
      <w:tr>
        <w:tc>
          <w:tcPr>
            <w:tcW w:type="dxa" w:w="3061"/>
            <w:shd w:val="clear" w:color="auto" w:fill="1E2A5A"/>
          </w:tcPr>
          <w:p>
            <w:r/>
            <w:r>
              <w:rPr>
                <w:b/>
                <w:color w:val="FFFFFF"/>
                <w:sz w:val="19"/>
              </w:rPr>
              <w:t>Question</w:t>
            </w:r>
          </w:p>
        </w:tc>
        <w:tc>
          <w:tcPr>
            <w:tcW w:type="dxa" w:w="2835"/>
            <w:shd w:val="clear" w:color="auto" w:fill="1E2A5A"/>
          </w:tcPr>
          <w:p>
            <w:r/>
            <w:r>
              <w:rPr>
                <w:b/>
                <w:color w:val="FFFFFF"/>
                <w:sz w:val="19"/>
              </w:rPr>
              <w:t>A good answer sounds like</w:t>
            </w:r>
          </w:p>
        </w:tc>
        <w:tc>
          <w:tcPr>
            <w:tcW w:type="dxa" w:w="2381"/>
            <w:shd w:val="clear" w:color="auto" w:fill="1E2A5A"/>
          </w:tcPr>
          <w:p>
            <w:r/>
            <w:r>
              <w:rPr>
                <w:b/>
                <w:color w:val="FFFFFF"/>
                <w:sz w:val="19"/>
              </w:rPr>
              <w:t>Red flag</w:t>
            </w:r>
          </w:p>
        </w:tc>
        <w:tc>
          <w:tcPr>
            <w:tcW w:type="dxa" w:w="1701"/>
            <w:shd w:val="clear" w:color="auto" w:fill="1E2A5A"/>
          </w:tcPr>
          <w:p>
            <w:r/>
            <w:r>
              <w:rPr>
                <w:b/>
                <w:color w:val="FFFFFF"/>
                <w:sz w:val="19"/>
              </w:rPr>
              <w:t>Vendor reply / score (0-3)</w:t>
            </w:r>
          </w:p>
        </w:tc>
      </w:tr>
      <w:tr>
        <w:tc>
          <w:tcPr>
            <w:tcW w:type="dxa" w:w="3061"/>
          </w:tcPr>
          <w:p>
            <w:r/>
            <w:r>
              <w:rPr>
                <w:sz w:val="19"/>
              </w:rPr>
              <w:t>Is the product sold and supported in India today? Which cities have customers?</w:t>
            </w:r>
          </w:p>
        </w:tc>
        <w:tc>
          <w:tcPr>
            <w:tcW w:type="dxa" w:w="2835"/>
          </w:tcPr>
          <w:p>
            <w:r/>
            <w:r>
              <w:rPr>
                <w:sz w:val="19"/>
              </w:rPr>
              <w:t>A yes with named customers or a local office, and a support number that works in Indian hours.</w:t>
            </w:r>
          </w:p>
        </w:tc>
        <w:tc>
          <w:tcPr>
            <w:tcW w:type="dxa" w:w="2381"/>
          </w:tcPr>
          <w:p>
            <w:r/>
            <w:r>
              <w:rPr>
                <w:sz w:val="19"/>
              </w:rPr>
              <w:t>Support only by email from another time zone; no Indian customer you can call.</w:t>
            </w:r>
          </w:p>
        </w:tc>
        <w:tc>
          <w:tcPr>
            <w:tcW w:type="dxa" w:w="1701"/>
            <w:shd w:val="clear" w:color="auto" w:fill="FFF2CC"/>
          </w:tcPr>
          <w:p>
            <w:r/>
            <w:r>
              <w:rPr>
                <w:sz w:val="19"/>
              </w:rPr>
            </w:r>
          </w:p>
        </w:tc>
      </w:tr>
      <w:tr>
        <w:tc>
          <w:tcPr>
            <w:tcW w:type="dxa" w:w="3061"/>
          </w:tcPr>
          <w:p>
            <w:r/>
            <w:r>
              <w:rPr>
                <w:sz w:val="19"/>
              </w:rPr>
              <w:t>Can one invoice carry food at 5% and hall rent or decor at 18%?</w:t>
            </w:r>
          </w:p>
        </w:tc>
        <w:tc>
          <w:tcPr>
            <w:tcW w:type="dxa" w:w="2835"/>
          </w:tcPr>
          <w:p>
            <w:r/>
            <w:r>
              <w:rPr>
                <w:sz w:val="19"/>
              </w:rPr>
              <w:t>They show it live, with CGST and SGST (or IGST) lines and the SAC code on each line.</w:t>
            </w:r>
          </w:p>
        </w:tc>
        <w:tc>
          <w:tcPr>
            <w:tcW w:type="dxa" w:w="2381"/>
          </w:tcPr>
          <w:p>
            <w:r/>
            <w:r>
              <w:rPr>
                <w:sz w:val="19"/>
              </w:rPr>
              <w:t>A single tax rate for the whole invoice, or "your accountant can adjust it".</w:t>
            </w:r>
          </w:p>
        </w:tc>
        <w:tc>
          <w:tcPr>
            <w:tcW w:type="dxa" w:w="1701"/>
            <w:shd w:val="clear" w:color="auto" w:fill="FFF2CC"/>
          </w:tcPr>
          <w:p>
            <w:r/>
            <w:r>
              <w:rPr>
                <w:sz w:val="19"/>
              </w:rPr>
            </w:r>
          </w:p>
        </w:tc>
      </w:tr>
      <w:tr>
        <w:tc>
          <w:tcPr>
            <w:tcW w:type="dxa" w:w="3061"/>
          </w:tcPr>
          <w:p>
            <w:r/>
            <w:r>
              <w:rPr>
                <w:sz w:val="19"/>
              </w:rPr>
              <w:t>Does it produce advance receipt vouchers and adjust them on the final invoice?</w:t>
            </w:r>
          </w:p>
        </w:tc>
        <w:tc>
          <w:tcPr>
            <w:tcW w:type="dxa" w:w="2835"/>
          </w:tcPr>
          <w:p>
            <w:r/>
            <w:r>
              <w:rPr>
                <w:sz w:val="19"/>
              </w:rPr>
              <w:t>A receipt voucher is generated when you record an advance and the final invoice deducts it.</w:t>
            </w:r>
          </w:p>
        </w:tc>
        <w:tc>
          <w:tcPr>
            <w:tcW w:type="dxa" w:w="2381"/>
          </w:tcPr>
          <w:p>
            <w:r/>
            <w:r>
              <w:rPr>
                <w:sz w:val="19"/>
              </w:rPr>
              <w:t>Advances are recorded as a note or a payment only.</w:t>
            </w:r>
          </w:p>
        </w:tc>
        <w:tc>
          <w:tcPr>
            <w:tcW w:type="dxa" w:w="1701"/>
            <w:shd w:val="clear" w:color="auto" w:fill="FFF2CC"/>
          </w:tcPr>
          <w:p>
            <w:r/>
            <w:r>
              <w:rPr>
                <w:sz w:val="19"/>
              </w:rPr>
            </w:r>
          </w:p>
        </w:tc>
      </w:tr>
      <w:tr>
        <w:tc>
          <w:tcPr>
            <w:tcW w:type="dxa" w:w="3061"/>
          </w:tcPr>
          <w:p>
            <w:r/>
            <w:r>
              <w:rPr>
                <w:sz w:val="19"/>
              </w:rPr>
              <w:t>How does it handle invoice numbers?</w:t>
            </w:r>
          </w:p>
        </w:tc>
        <w:tc>
          <w:tcPr>
            <w:tcW w:type="dxa" w:w="2835"/>
          </w:tcPr>
          <w:p>
            <w:r/>
            <w:r>
              <w:rPr>
                <w:sz w:val="19"/>
              </w:rPr>
              <w:t>Separate series, at most 16 characters, no gaps except cancelled numbers marked as such.</w:t>
            </w:r>
          </w:p>
        </w:tc>
        <w:tc>
          <w:tcPr>
            <w:tcW w:type="dxa" w:w="2381"/>
          </w:tcPr>
          <w:p>
            <w:r/>
            <w:r>
              <w:rPr>
                <w:sz w:val="19"/>
              </w:rPr>
              <w:t>Numbers reset or repeat, or a long default format that the GST portal rejects.</w:t>
            </w:r>
          </w:p>
        </w:tc>
        <w:tc>
          <w:tcPr>
            <w:tcW w:type="dxa" w:w="1701"/>
            <w:shd w:val="clear" w:color="auto" w:fill="FFF2CC"/>
          </w:tcPr>
          <w:p>
            <w:r/>
            <w:r>
              <w:rPr>
                <w:sz w:val="19"/>
              </w:rPr>
            </w:r>
          </w:p>
        </w:tc>
      </w:tr>
    </w:tbl>
    <w:p/>
    <w:p>
      <w:r>
        <w:rPr>
          <w:b/>
          <w:color w:val="1E2A5A"/>
          <w:sz w:val="26"/>
        </w:rPr>
        <w:t>2. Calendar and booking</w:t>
      </w:r>
    </w:p>
    <w:tbl>
      <w:tblPr>
        <w:tblStyle w:val="TableGrid"/>
        <w:tblW w:type="auto" w:w="0"/>
        <w:tblLook w:firstColumn="1" w:firstRow="1" w:lastColumn="0" w:lastRow="0" w:noHBand="0" w:noVBand="1" w:val="04A0"/>
      </w:tblPr>
      <w:tblGrid>
        <w:gridCol w:w="2550"/>
        <w:gridCol w:w="2550"/>
        <w:gridCol w:w="2550"/>
        <w:gridCol w:w="2550"/>
      </w:tblGrid>
      <w:tr>
        <w:tc>
          <w:tcPr>
            <w:tcW w:type="dxa" w:w="3061"/>
            <w:shd w:val="clear" w:color="auto" w:fill="1E2A5A"/>
          </w:tcPr>
          <w:p>
            <w:r/>
            <w:r>
              <w:rPr>
                <w:b/>
                <w:color w:val="FFFFFF"/>
                <w:sz w:val="19"/>
              </w:rPr>
              <w:t>Question</w:t>
            </w:r>
          </w:p>
        </w:tc>
        <w:tc>
          <w:tcPr>
            <w:tcW w:type="dxa" w:w="2835"/>
            <w:shd w:val="clear" w:color="auto" w:fill="1E2A5A"/>
          </w:tcPr>
          <w:p>
            <w:r/>
            <w:r>
              <w:rPr>
                <w:b/>
                <w:color w:val="FFFFFF"/>
                <w:sz w:val="19"/>
              </w:rPr>
              <w:t>A good answer sounds like</w:t>
            </w:r>
          </w:p>
        </w:tc>
        <w:tc>
          <w:tcPr>
            <w:tcW w:type="dxa" w:w="2381"/>
            <w:shd w:val="clear" w:color="auto" w:fill="1E2A5A"/>
          </w:tcPr>
          <w:p>
            <w:r/>
            <w:r>
              <w:rPr>
                <w:b/>
                <w:color w:val="FFFFFF"/>
                <w:sz w:val="19"/>
              </w:rPr>
              <w:t>Red flag</w:t>
            </w:r>
          </w:p>
        </w:tc>
        <w:tc>
          <w:tcPr>
            <w:tcW w:type="dxa" w:w="1701"/>
            <w:shd w:val="clear" w:color="auto" w:fill="1E2A5A"/>
          </w:tcPr>
          <w:p>
            <w:r/>
            <w:r>
              <w:rPr>
                <w:b/>
                <w:color w:val="FFFFFF"/>
                <w:sz w:val="19"/>
              </w:rPr>
              <w:t>Vendor reply / score (0-3)</w:t>
            </w:r>
          </w:p>
        </w:tc>
      </w:tr>
      <w:tr>
        <w:tc>
          <w:tcPr>
            <w:tcW w:type="dxa" w:w="3061"/>
          </w:tcPr>
          <w:p>
            <w:r/>
            <w:r>
              <w:rPr>
                <w:sz w:val="19"/>
              </w:rPr>
              <w:t>Can I book a hall by morning and evening slot, with a gap for set-up and pack-down?</w:t>
            </w:r>
          </w:p>
        </w:tc>
        <w:tc>
          <w:tcPr>
            <w:tcW w:type="dxa" w:w="2835"/>
          </w:tcPr>
          <w:p>
            <w:r/>
            <w:r>
              <w:rPr>
                <w:sz w:val="19"/>
              </w:rPr>
              <w:t>Slots and gaps are configured per hall; the system refuses a clash.</w:t>
            </w:r>
          </w:p>
        </w:tc>
        <w:tc>
          <w:tcPr>
            <w:tcW w:type="dxa" w:w="2381"/>
          </w:tcPr>
          <w:p>
            <w:r/>
            <w:r>
              <w:rPr>
                <w:sz w:val="19"/>
              </w:rPr>
              <w:t>Whole-day blocks only.</w:t>
            </w:r>
          </w:p>
        </w:tc>
        <w:tc>
          <w:tcPr>
            <w:tcW w:type="dxa" w:w="1701"/>
            <w:shd w:val="clear" w:color="auto" w:fill="FFF2CC"/>
          </w:tcPr>
          <w:p>
            <w:r/>
            <w:r>
              <w:rPr>
                <w:sz w:val="19"/>
              </w:rPr>
            </w:r>
          </w:p>
        </w:tc>
      </w:tr>
      <w:tr>
        <w:tc>
          <w:tcPr>
            <w:tcW w:type="dxa" w:w="3061"/>
          </w:tcPr>
          <w:p>
            <w:r/>
            <w:r>
              <w:rPr>
                <w:sz w:val="19"/>
              </w:rPr>
              <w:t>What happens if two staff members book the same slot at the same moment?</w:t>
            </w:r>
          </w:p>
        </w:tc>
        <w:tc>
          <w:tcPr>
            <w:tcW w:type="dxa" w:w="2835"/>
          </w:tcPr>
          <w:p>
            <w:r/>
            <w:r>
              <w:rPr>
                <w:sz w:val="19"/>
              </w:rPr>
              <w:t>One succeeds, one is told the slot is taken. Ask them to show it with two phones.</w:t>
            </w:r>
          </w:p>
        </w:tc>
        <w:tc>
          <w:tcPr>
            <w:tcW w:type="dxa" w:w="2381"/>
          </w:tcPr>
          <w:p>
            <w:r/>
            <w:r>
              <w:rPr>
                <w:sz w:val="19"/>
              </w:rPr>
              <w:t>Both succeed and someone reconciles later.</w:t>
            </w:r>
          </w:p>
        </w:tc>
        <w:tc>
          <w:tcPr>
            <w:tcW w:type="dxa" w:w="1701"/>
            <w:shd w:val="clear" w:color="auto" w:fill="FFF2CC"/>
          </w:tcPr>
          <w:p>
            <w:r/>
            <w:r>
              <w:rPr>
                <w:sz w:val="19"/>
              </w:rPr>
            </w:r>
          </w:p>
        </w:tc>
      </w:tr>
      <w:tr>
        <w:tc>
          <w:tcPr>
            <w:tcW w:type="dxa" w:w="3061"/>
          </w:tcPr>
          <w:p>
            <w:r/>
            <w:r>
              <w:rPr>
                <w:sz w:val="19"/>
              </w:rPr>
              <w:t>Can a three-day wedding (mehendi, sangeet, wedding) be one account with one payment plan?</w:t>
            </w:r>
          </w:p>
        </w:tc>
        <w:tc>
          <w:tcPr>
            <w:tcW w:type="dxa" w:w="2835"/>
          </w:tcPr>
          <w:p>
            <w:r/>
            <w:r>
              <w:rPr>
                <w:sz w:val="19"/>
              </w:rPr>
              <w:t>Yes, with a schedule of milestones.</w:t>
            </w:r>
          </w:p>
        </w:tc>
        <w:tc>
          <w:tcPr>
            <w:tcW w:type="dxa" w:w="2381"/>
          </w:tcPr>
          <w:p>
            <w:r/>
            <w:r>
              <w:rPr>
                <w:sz w:val="19"/>
              </w:rPr>
              <w:t>Three separate bookings with separate balances.</w:t>
            </w:r>
          </w:p>
        </w:tc>
        <w:tc>
          <w:tcPr>
            <w:tcW w:type="dxa" w:w="1701"/>
            <w:shd w:val="clear" w:color="auto" w:fill="FFF2CC"/>
          </w:tcPr>
          <w:p>
            <w:r/>
            <w:r>
              <w:rPr>
                <w:sz w:val="19"/>
              </w:rPr>
            </w:r>
          </w:p>
        </w:tc>
      </w:tr>
    </w:tbl>
    <w:p/>
    <w:p>
      <w:r>
        <w:rPr>
          <w:b/>
          <w:color w:val="1E2A5A"/>
          <w:sz w:val="26"/>
        </w:rPr>
        <w:t>3. Quotes, menus and kitchen</w:t>
      </w:r>
    </w:p>
    <w:tbl>
      <w:tblPr>
        <w:tblStyle w:val="TableGrid"/>
        <w:tblW w:type="auto" w:w="0"/>
        <w:tblLook w:firstColumn="1" w:firstRow="1" w:lastColumn="0" w:lastRow="0" w:noHBand="0" w:noVBand="1" w:val="04A0"/>
      </w:tblPr>
      <w:tblGrid>
        <w:gridCol w:w="2550"/>
        <w:gridCol w:w="2550"/>
        <w:gridCol w:w="2550"/>
        <w:gridCol w:w="2550"/>
      </w:tblGrid>
      <w:tr>
        <w:tc>
          <w:tcPr>
            <w:tcW w:type="dxa" w:w="3061"/>
            <w:shd w:val="clear" w:color="auto" w:fill="1E2A5A"/>
          </w:tcPr>
          <w:p>
            <w:r/>
            <w:r>
              <w:rPr>
                <w:b/>
                <w:color w:val="FFFFFF"/>
                <w:sz w:val="19"/>
              </w:rPr>
              <w:t>Question</w:t>
            </w:r>
          </w:p>
        </w:tc>
        <w:tc>
          <w:tcPr>
            <w:tcW w:type="dxa" w:w="2835"/>
            <w:shd w:val="clear" w:color="auto" w:fill="1E2A5A"/>
          </w:tcPr>
          <w:p>
            <w:r/>
            <w:r>
              <w:rPr>
                <w:b/>
                <w:color w:val="FFFFFF"/>
                <w:sz w:val="19"/>
              </w:rPr>
              <w:t>A good answer sounds like</w:t>
            </w:r>
          </w:p>
        </w:tc>
        <w:tc>
          <w:tcPr>
            <w:tcW w:type="dxa" w:w="2381"/>
            <w:shd w:val="clear" w:color="auto" w:fill="1E2A5A"/>
          </w:tcPr>
          <w:p>
            <w:r/>
            <w:r>
              <w:rPr>
                <w:b/>
                <w:color w:val="FFFFFF"/>
                <w:sz w:val="19"/>
              </w:rPr>
              <w:t>Red flag</w:t>
            </w:r>
          </w:p>
        </w:tc>
        <w:tc>
          <w:tcPr>
            <w:tcW w:type="dxa" w:w="1701"/>
            <w:shd w:val="clear" w:color="auto" w:fill="1E2A5A"/>
          </w:tcPr>
          <w:p>
            <w:r/>
            <w:r>
              <w:rPr>
                <w:b/>
                <w:color w:val="FFFFFF"/>
                <w:sz w:val="19"/>
              </w:rPr>
              <w:t>Vendor reply / score (0-3)</w:t>
            </w:r>
          </w:p>
        </w:tc>
      </w:tr>
      <w:tr>
        <w:tc>
          <w:tcPr>
            <w:tcW w:type="dxa" w:w="3061"/>
          </w:tcPr>
          <w:p>
            <w:r/>
            <w:r>
              <w:rPr>
                <w:sz w:val="19"/>
              </w:rPr>
              <w:t>Can I quote per plate, change the guest count and see the total and margin update?</w:t>
            </w:r>
          </w:p>
        </w:tc>
        <w:tc>
          <w:tcPr>
            <w:tcW w:type="dxa" w:w="2835"/>
          </w:tcPr>
          <w:p>
            <w:r/>
            <w:r>
              <w:rPr>
                <w:sz w:val="19"/>
              </w:rPr>
              <w:t>A live edit in the demo, including live counters and extras.</w:t>
            </w:r>
          </w:p>
        </w:tc>
        <w:tc>
          <w:tcPr>
            <w:tcW w:type="dxa" w:w="2381"/>
          </w:tcPr>
          <w:p>
            <w:r/>
            <w:r>
              <w:rPr>
                <w:sz w:val="19"/>
              </w:rPr>
              <w:t>The quote is a static PDF built outside the system.</w:t>
            </w:r>
          </w:p>
        </w:tc>
        <w:tc>
          <w:tcPr>
            <w:tcW w:type="dxa" w:w="1701"/>
            <w:shd w:val="clear" w:color="auto" w:fill="FFF2CC"/>
          </w:tcPr>
          <w:p>
            <w:r/>
            <w:r>
              <w:rPr>
                <w:sz w:val="19"/>
              </w:rPr>
            </w:r>
          </w:p>
        </w:tc>
      </w:tr>
      <w:tr>
        <w:tc>
          <w:tcPr>
            <w:tcW w:type="dxa" w:w="3061"/>
          </w:tcPr>
          <w:p>
            <w:r/>
            <w:r>
              <w:rPr>
                <w:sz w:val="19"/>
              </w:rPr>
              <w:t>Can the kitchen see quantities per station from the confirmed guest count?</w:t>
            </w:r>
          </w:p>
        </w:tc>
        <w:tc>
          <w:tcPr>
            <w:tcW w:type="dxa" w:w="2835"/>
          </w:tcPr>
          <w:p>
            <w:r/>
            <w:r>
              <w:rPr>
                <w:sz w:val="19"/>
              </w:rPr>
              <w:t>A printable or on-screen sheet by station, with Jain and allergy notes.</w:t>
            </w:r>
          </w:p>
        </w:tc>
        <w:tc>
          <w:tcPr>
            <w:tcW w:type="dxa" w:w="2381"/>
          </w:tcPr>
          <w:p>
            <w:r/>
            <w:r>
              <w:rPr>
                <w:sz w:val="19"/>
              </w:rPr>
              <w:t>The chef re-types the menu into a spreadsheet.</w:t>
            </w:r>
          </w:p>
        </w:tc>
        <w:tc>
          <w:tcPr>
            <w:tcW w:type="dxa" w:w="1701"/>
            <w:shd w:val="clear" w:color="auto" w:fill="FFF2CC"/>
          </w:tcPr>
          <w:p>
            <w:r/>
            <w:r>
              <w:rPr>
                <w:sz w:val="19"/>
              </w:rPr>
            </w:r>
          </w:p>
        </w:tc>
      </w:tr>
      <w:tr>
        <w:tc>
          <w:tcPr>
            <w:tcW w:type="dxa" w:w="3061"/>
          </w:tcPr>
          <w:p>
            <w:r/>
            <w:r>
              <w:rPr>
                <w:sz w:val="19"/>
              </w:rPr>
              <w:t>How are allergies and dietary needs recorded?</w:t>
            </w:r>
          </w:p>
        </w:tc>
        <w:tc>
          <w:tcPr>
            <w:tcW w:type="dxa" w:w="2835"/>
          </w:tcPr>
          <w:p>
            <w:r/>
            <w:r>
              <w:rPr>
                <w:sz w:val="19"/>
              </w:rPr>
              <w:t>Fields per guest group or per event, shown on the kitchen sheet.</w:t>
            </w:r>
          </w:p>
        </w:tc>
        <w:tc>
          <w:tcPr>
            <w:tcW w:type="dxa" w:w="2381"/>
          </w:tcPr>
          <w:p>
            <w:r/>
            <w:r>
              <w:rPr>
                <w:sz w:val="19"/>
              </w:rPr>
              <w:t>A free-text note that the kitchen never sees.</w:t>
            </w:r>
          </w:p>
        </w:tc>
        <w:tc>
          <w:tcPr>
            <w:tcW w:type="dxa" w:w="1701"/>
            <w:shd w:val="clear" w:color="auto" w:fill="FFF2CC"/>
          </w:tcPr>
          <w:p>
            <w:r/>
            <w:r>
              <w:rPr>
                <w:sz w:val="19"/>
              </w:rPr>
            </w:r>
          </w:p>
        </w:tc>
      </w:tr>
    </w:tbl>
    <w:p/>
    <w:p>
      <w:r>
        <w:rPr>
          <w:b/>
          <w:color w:val="1E2A5A"/>
          <w:sz w:val="26"/>
        </w:rPr>
        <w:t>4. Payments and accounting</w:t>
      </w:r>
    </w:p>
    <w:tbl>
      <w:tblPr>
        <w:tblStyle w:val="TableGrid"/>
        <w:tblW w:type="auto" w:w="0"/>
        <w:tblLook w:firstColumn="1" w:firstRow="1" w:lastColumn="0" w:lastRow="0" w:noHBand="0" w:noVBand="1" w:val="04A0"/>
      </w:tblPr>
      <w:tblGrid>
        <w:gridCol w:w="2550"/>
        <w:gridCol w:w="2550"/>
        <w:gridCol w:w="2550"/>
        <w:gridCol w:w="2550"/>
      </w:tblGrid>
      <w:tr>
        <w:tc>
          <w:tcPr>
            <w:tcW w:type="dxa" w:w="3061"/>
            <w:shd w:val="clear" w:color="auto" w:fill="1E2A5A"/>
          </w:tcPr>
          <w:p>
            <w:r/>
            <w:r>
              <w:rPr>
                <w:b/>
                <w:color w:val="FFFFFF"/>
                <w:sz w:val="19"/>
              </w:rPr>
              <w:t>Question</w:t>
            </w:r>
          </w:p>
        </w:tc>
        <w:tc>
          <w:tcPr>
            <w:tcW w:type="dxa" w:w="2835"/>
            <w:shd w:val="clear" w:color="auto" w:fill="1E2A5A"/>
          </w:tcPr>
          <w:p>
            <w:r/>
            <w:r>
              <w:rPr>
                <w:b/>
                <w:color w:val="FFFFFF"/>
                <w:sz w:val="19"/>
              </w:rPr>
              <w:t>A good answer sounds like</w:t>
            </w:r>
          </w:p>
        </w:tc>
        <w:tc>
          <w:tcPr>
            <w:tcW w:type="dxa" w:w="2381"/>
            <w:shd w:val="clear" w:color="auto" w:fill="1E2A5A"/>
          </w:tcPr>
          <w:p>
            <w:r/>
            <w:r>
              <w:rPr>
                <w:b/>
                <w:color w:val="FFFFFF"/>
                <w:sz w:val="19"/>
              </w:rPr>
              <w:t>Red flag</w:t>
            </w:r>
          </w:p>
        </w:tc>
        <w:tc>
          <w:tcPr>
            <w:tcW w:type="dxa" w:w="1701"/>
            <w:shd w:val="clear" w:color="auto" w:fill="1E2A5A"/>
          </w:tcPr>
          <w:p>
            <w:r/>
            <w:r>
              <w:rPr>
                <w:b/>
                <w:color w:val="FFFFFF"/>
                <w:sz w:val="19"/>
              </w:rPr>
              <w:t>Vendor reply / score (0-3)</w:t>
            </w:r>
          </w:p>
        </w:tc>
      </w:tr>
      <w:tr>
        <w:tc>
          <w:tcPr>
            <w:tcW w:type="dxa" w:w="3061"/>
          </w:tcPr>
          <w:p>
            <w:r/>
            <w:r>
              <w:rPr>
                <w:sz w:val="19"/>
              </w:rPr>
              <w:t>Which payment methods can I record and reconcile: UPI, cash, cheque, bank transfer?</w:t>
            </w:r>
          </w:p>
        </w:tc>
        <w:tc>
          <w:tcPr>
            <w:tcW w:type="dxa" w:w="2835"/>
          </w:tcPr>
          <w:p>
            <w:r/>
            <w:r>
              <w:rPr>
                <w:sz w:val="19"/>
              </w:rPr>
              <w:t>All four, each with a reference and a receipt.</w:t>
            </w:r>
          </w:p>
        </w:tc>
        <w:tc>
          <w:tcPr>
            <w:tcW w:type="dxa" w:w="2381"/>
          </w:tcPr>
          <w:p>
            <w:r/>
            <w:r>
              <w:rPr>
                <w:sz w:val="19"/>
              </w:rPr>
              <w:t>Card payments only, or online payments only.</w:t>
            </w:r>
          </w:p>
        </w:tc>
        <w:tc>
          <w:tcPr>
            <w:tcW w:type="dxa" w:w="1701"/>
            <w:shd w:val="clear" w:color="auto" w:fill="FFF2CC"/>
          </w:tcPr>
          <w:p>
            <w:r/>
            <w:r>
              <w:rPr>
                <w:sz w:val="19"/>
              </w:rPr>
            </w:r>
          </w:p>
        </w:tc>
      </w:tr>
      <w:tr>
        <w:tc>
          <w:tcPr>
            <w:tcW w:type="dxa" w:w="3061"/>
          </w:tcPr>
          <w:p>
            <w:r/>
            <w:r>
              <w:rPr>
                <w:sz w:val="19"/>
              </w:rPr>
              <w:t>What is the fee on each method, and who collects it?</w:t>
            </w:r>
          </w:p>
        </w:tc>
        <w:tc>
          <w:tcPr>
            <w:tcW w:type="dxa" w:w="2835"/>
          </w:tcPr>
          <w:p>
            <w:r/>
            <w:r>
              <w:rPr>
                <w:sz w:val="19"/>
              </w:rPr>
              <w:t>A rate card in writing, with the payment provider named.</w:t>
            </w:r>
          </w:p>
        </w:tc>
        <w:tc>
          <w:tcPr>
            <w:tcW w:type="dxa" w:w="2381"/>
          </w:tcPr>
          <w:p>
            <w:r/>
            <w:r>
              <w:rPr>
                <w:sz w:val="19"/>
              </w:rPr>
              <w:t>"Depends on volume" with no range.</w:t>
            </w:r>
          </w:p>
        </w:tc>
        <w:tc>
          <w:tcPr>
            <w:tcW w:type="dxa" w:w="1701"/>
            <w:shd w:val="clear" w:color="auto" w:fill="FFF2CC"/>
          </w:tcPr>
          <w:p>
            <w:r/>
            <w:r>
              <w:rPr>
                <w:sz w:val="19"/>
              </w:rPr>
            </w:r>
          </w:p>
        </w:tc>
      </w:tr>
      <w:tr>
        <w:tc>
          <w:tcPr>
            <w:tcW w:type="dxa" w:w="3061"/>
          </w:tcPr>
          <w:p>
            <w:r/>
            <w:r>
              <w:rPr>
                <w:sz w:val="19"/>
              </w:rPr>
              <w:t>How does it export to Tally or my accounting tool?</w:t>
            </w:r>
          </w:p>
        </w:tc>
        <w:tc>
          <w:tcPr>
            <w:tcW w:type="dxa" w:w="2835"/>
          </w:tcPr>
          <w:p>
            <w:r/>
            <w:r>
              <w:rPr>
                <w:sz w:val="19"/>
              </w:rPr>
              <w:t>A sample export for one month that your accountant opens and checks.</w:t>
            </w:r>
          </w:p>
        </w:tc>
        <w:tc>
          <w:tcPr>
            <w:tcW w:type="dxa" w:w="2381"/>
          </w:tcPr>
          <w:p>
            <w:r/>
            <w:r>
              <w:rPr>
                <w:sz w:val="19"/>
              </w:rPr>
              <w:t>A CSV that needs manual mapping every month.</w:t>
            </w:r>
          </w:p>
        </w:tc>
        <w:tc>
          <w:tcPr>
            <w:tcW w:type="dxa" w:w="1701"/>
            <w:shd w:val="clear" w:color="auto" w:fill="FFF2CC"/>
          </w:tcPr>
          <w:p>
            <w:r/>
            <w:r>
              <w:rPr>
                <w:sz w:val="19"/>
              </w:rPr>
            </w:r>
          </w:p>
        </w:tc>
      </w:tr>
      <w:tr>
        <w:tc>
          <w:tcPr>
            <w:tcW w:type="dxa" w:w="3061"/>
          </w:tcPr>
          <w:p>
            <w:r/>
            <w:r>
              <w:rPr>
                <w:sz w:val="19"/>
              </w:rPr>
              <w:t>How does it treat TDS deducted by corporate clients?</w:t>
            </w:r>
          </w:p>
        </w:tc>
        <w:tc>
          <w:tcPr>
            <w:tcW w:type="dxa" w:w="2835"/>
          </w:tcPr>
          <w:p>
            <w:r/>
            <w:r>
              <w:rPr>
                <w:sz w:val="19"/>
              </w:rPr>
              <w:t>A field on the payment that reduces the receivable and appears in reports.</w:t>
            </w:r>
          </w:p>
        </w:tc>
        <w:tc>
          <w:tcPr>
            <w:tcW w:type="dxa" w:w="2381"/>
          </w:tcPr>
          <w:p>
            <w:r/>
            <w:r>
              <w:rPr>
                <w:sz w:val="19"/>
              </w:rPr>
              <w:t>No support; recorded as a discount.</w:t>
            </w:r>
          </w:p>
        </w:tc>
        <w:tc>
          <w:tcPr>
            <w:tcW w:type="dxa" w:w="1701"/>
            <w:shd w:val="clear" w:color="auto" w:fill="FFF2CC"/>
          </w:tcPr>
          <w:p>
            <w:r/>
            <w:r>
              <w:rPr>
                <w:sz w:val="19"/>
              </w:rPr>
            </w:r>
          </w:p>
        </w:tc>
      </w:tr>
    </w:tbl>
    <w:p/>
    <w:p>
      <w:r>
        <w:rPr>
          <w:b/>
          <w:color w:val="1E2A5A"/>
          <w:sz w:val="26"/>
        </w:rPr>
        <w:t>5. Data, security and exit</w:t>
      </w:r>
    </w:p>
    <w:tbl>
      <w:tblPr>
        <w:tblStyle w:val="TableGrid"/>
        <w:tblW w:type="auto" w:w="0"/>
        <w:tblLook w:firstColumn="1" w:firstRow="1" w:lastColumn="0" w:lastRow="0" w:noHBand="0" w:noVBand="1" w:val="04A0"/>
      </w:tblPr>
      <w:tblGrid>
        <w:gridCol w:w="2550"/>
        <w:gridCol w:w="2550"/>
        <w:gridCol w:w="2550"/>
        <w:gridCol w:w="2550"/>
      </w:tblGrid>
      <w:tr>
        <w:tc>
          <w:tcPr>
            <w:tcW w:type="dxa" w:w="3061"/>
            <w:shd w:val="clear" w:color="auto" w:fill="1E2A5A"/>
          </w:tcPr>
          <w:p>
            <w:r/>
            <w:r>
              <w:rPr>
                <w:b/>
                <w:color w:val="FFFFFF"/>
                <w:sz w:val="19"/>
              </w:rPr>
              <w:t>Question</w:t>
            </w:r>
          </w:p>
        </w:tc>
        <w:tc>
          <w:tcPr>
            <w:tcW w:type="dxa" w:w="2835"/>
            <w:shd w:val="clear" w:color="auto" w:fill="1E2A5A"/>
          </w:tcPr>
          <w:p>
            <w:r/>
            <w:r>
              <w:rPr>
                <w:b/>
                <w:color w:val="FFFFFF"/>
                <w:sz w:val="19"/>
              </w:rPr>
              <w:t>A good answer sounds like</w:t>
            </w:r>
          </w:p>
        </w:tc>
        <w:tc>
          <w:tcPr>
            <w:tcW w:type="dxa" w:w="2381"/>
            <w:shd w:val="clear" w:color="auto" w:fill="1E2A5A"/>
          </w:tcPr>
          <w:p>
            <w:r/>
            <w:r>
              <w:rPr>
                <w:b/>
                <w:color w:val="FFFFFF"/>
                <w:sz w:val="19"/>
              </w:rPr>
              <w:t>Red flag</w:t>
            </w:r>
          </w:p>
        </w:tc>
        <w:tc>
          <w:tcPr>
            <w:tcW w:type="dxa" w:w="1701"/>
            <w:shd w:val="clear" w:color="auto" w:fill="1E2A5A"/>
          </w:tcPr>
          <w:p>
            <w:r/>
            <w:r>
              <w:rPr>
                <w:b/>
                <w:color w:val="FFFFFF"/>
                <w:sz w:val="19"/>
              </w:rPr>
              <w:t>Vendor reply / score (0-3)</w:t>
            </w:r>
          </w:p>
        </w:tc>
      </w:tr>
      <w:tr>
        <w:tc>
          <w:tcPr>
            <w:tcW w:type="dxa" w:w="3061"/>
          </w:tcPr>
          <w:p>
            <w:r/>
            <w:r>
              <w:rPr>
                <w:sz w:val="19"/>
              </w:rPr>
              <w:t>Where is my data stored, and who can see it?</w:t>
            </w:r>
          </w:p>
        </w:tc>
        <w:tc>
          <w:tcPr>
            <w:tcW w:type="dxa" w:w="2835"/>
          </w:tcPr>
          <w:p>
            <w:r/>
            <w:r>
              <w:rPr>
                <w:sz w:val="19"/>
              </w:rPr>
              <w:t>A named region and a role-based access model.</w:t>
            </w:r>
          </w:p>
        </w:tc>
        <w:tc>
          <w:tcPr>
            <w:tcW w:type="dxa" w:w="2381"/>
          </w:tcPr>
          <w:p>
            <w:r/>
            <w:r>
              <w:rPr>
                <w:sz w:val="19"/>
              </w:rPr>
              <w:t>No answer, or "the cloud".</w:t>
            </w:r>
          </w:p>
        </w:tc>
        <w:tc>
          <w:tcPr>
            <w:tcW w:type="dxa" w:w="1701"/>
            <w:shd w:val="clear" w:color="auto" w:fill="FFF2CC"/>
          </w:tcPr>
          <w:p>
            <w:r/>
            <w:r>
              <w:rPr>
                <w:sz w:val="19"/>
              </w:rPr>
            </w:r>
          </w:p>
        </w:tc>
      </w:tr>
      <w:tr>
        <w:tc>
          <w:tcPr>
            <w:tcW w:type="dxa" w:w="3061"/>
          </w:tcPr>
          <w:p>
            <w:r/>
            <w:r>
              <w:rPr>
                <w:sz w:val="19"/>
              </w:rPr>
              <w:t>Can I export all bookings, clients and invoices in a standard format whenever I like?</w:t>
            </w:r>
          </w:p>
        </w:tc>
        <w:tc>
          <w:tcPr>
            <w:tcW w:type="dxa" w:w="2835"/>
          </w:tcPr>
          <w:p>
            <w:r/>
            <w:r>
              <w:rPr>
                <w:sz w:val="19"/>
              </w:rPr>
              <w:t>A self-service export with column definitions.</w:t>
            </w:r>
          </w:p>
        </w:tc>
        <w:tc>
          <w:tcPr>
            <w:tcW w:type="dxa" w:w="2381"/>
          </w:tcPr>
          <w:p>
            <w:r/>
            <w:r>
              <w:rPr>
                <w:sz w:val="19"/>
              </w:rPr>
              <w:t>Export only on request, for a fee.</w:t>
            </w:r>
          </w:p>
        </w:tc>
        <w:tc>
          <w:tcPr>
            <w:tcW w:type="dxa" w:w="1701"/>
            <w:shd w:val="clear" w:color="auto" w:fill="FFF2CC"/>
          </w:tcPr>
          <w:p>
            <w:r/>
            <w:r>
              <w:rPr>
                <w:sz w:val="19"/>
              </w:rPr>
            </w:r>
          </w:p>
        </w:tc>
      </w:tr>
      <w:tr>
        <w:tc>
          <w:tcPr>
            <w:tcW w:type="dxa" w:w="3061"/>
          </w:tcPr>
          <w:p>
            <w:r/>
            <w:r>
              <w:rPr>
                <w:sz w:val="19"/>
              </w:rPr>
              <w:t>What happens to my data if I stop paying?</w:t>
            </w:r>
          </w:p>
        </w:tc>
        <w:tc>
          <w:tcPr>
            <w:tcW w:type="dxa" w:w="2835"/>
          </w:tcPr>
          <w:p>
            <w:r/>
            <w:r>
              <w:rPr>
                <w:sz w:val="19"/>
              </w:rPr>
              <w:t>A stated grace period and export window.</w:t>
            </w:r>
          </w:p>
        </w:tc>
        <w:tc>
          <w:tcPr>
            <w:tcW w:type="dxa" w:w="2381"/>
          </w:tcPr>
          <w:p>
            <w:r/>
            <w:r>
              <w:rPr>
                <w:sz w:val="19"/>
              </w:rPr>
              <w:t>Deleted immediately, or no policy.</w:t>
            </w:r>
          </w:p>
        </w:tc>
        <w:tc>
          <w:tcPr>
            <w:tcW w:type="dxa" w:w="1701"/>
            <w:shd w:val="clear" w:color="auto" w:fill="FFF2CC"/>
          </w:tcPr>
          <w:p>
            <w:r/>
            <w:r>
              <w:rPr>
                <w:sz w:val="19"/>
              </w:rPr>
            </w:r>
          </w:p>
        </w:tc>
      </w:tr>
    </w:tbl>
    <w:p/>
    <w:p>
      <w:r>
        <w:rPr>
          <w:b/>
          <w:color w:val="1E2A5A"/>
          <w:sz w:val="26"/>
        </w:rPr>
        <w:t>6. Price and support</w:t>
      </w:r>
    </w:p>
    <w:tbl>
      <w:tblPr>
        <w:tblStyle w:val="TableGrid"/>
        <w:tblW w:type="auto" w:w="0"/>
        <w:tblLook w:firstColumn="1" w:firstRow="1" w:lastColumn="0" w:lastRow="0" w:noHBand="0" w:noVBand="1" w:val="04A0"/>
      </w:tblPr>
      <w:tblGrid>
        <w:gridCol w:w="2550"/>
        <w:gridCol w:w="2550"/>
        <w:gridCol w:w="2550"/>
        <w:gridCol w:w="2550"/>
      </w:tblGrid>
      <w:tr>
        <w:tc>
          <w:tcPr>
            <w:tcW w:type="dxa" w:w="3061"/>
            <w:shd w:val="clear" w:color="auto" w:fill="1E2A5A"/>
          </w:tcPr>
          <w:p>
            <w:r/>
            <w:r>
              <w:rPr>
                <w:b/>
                <w:color w:val="FFFFFF"/>
                <w:sz w:val="19"/>
              </w:rPr>
              <w:t>Question</w:t>
            </w:r>
          </w:p>
        </w:tc>
        <w:tc>
          <w:tcPr>
            <w:tcW w:type="dxa" w:w="2835"/>
            <w:shd w:val="clear" w:color="auto" w:fill="1E2A5A"/>
          </w:tcPr>
          <w:p>
            <w:r/>
            <w:r>
              <w:rPr>
                <w:b/>
                <w:color w:val="FFFFFF"/>
                <w:sz w:val="19"/>
              </w:rPr>
              <w:t>A good answer sounds like</w:t>
            </w:r>
          </w:p>
        </w:tc>
        <w:tc>
          <w:tcPr>
            <w:tcW w:type="dxa" w:w="2381"/>
            <w:shd w:val="clear" w:color="auto" w:fill="1E2A5A"/>
          </w:tcPr>
          <w:p>
            <w:r/>
            <w:r>
              <w:rPr>
                <w:b/>
                <w:color w:val="FFFFFF"/>
                <w:sz w:val="19"/>
              </w:rPr>
              <w:t>Red flag</w:t>
            </w:r>
          </w:p>
        </w:tc>
        <w:tc>
          <w:tcPr>
            <w:tcW w:type="dxa" w:w="1701"/>
            <w:shd w:val="clear" w:color="auto" w:fill="1E2A5A"/>
          </w:tcPr>
          <w:p>
            <w:r/>
            <w:r>
              <w:rPr>
                <w:b/>
                <w:color w:val="FFFFFF"/>
                <w:sz w:val="19"/>
              </w:rPr>
              <w:t>Vendor reply / score (0-3)</w:t>
            </w:r>
          </w:p>
        </w:tc>
      </w:tr>
      <w:tr>
        <w:tc>
          <w:tcPr>
            <w:tcW w:type="dxa" w:w="3061"/>
          </w:tcPr>
          <w:p>
            <w:r/>
            <w:r>
              <w:rPr>
                <w:sz w:val="19"/>
              </w:rPr>
              <w:t>What is the total price for year one: plan, add-ons, setup, training, hardware?</w:t>
            </w:r>
          </w:p>
        </w:tc>
        <w:tc>
          <w:tcPr>
            <w:tcW w:type="dxa" w:w="2835"/>
          </w:tcPr>
          <w:p>
            <w:r/>
            <w:r>
              <w:rPr>
                <w:sz w:val="19"/>
              </w:rPr>
              <w:t>One written number with each item listed.</w:t>
            </w:r>
          </w:p>
        </w:tc>
        <w:tc>
          <w:tcPr>
            <w:tcW w:type="dxa" w:w="2381"/>
          </w:tcPr>
          <w:p>
            <w:r/>
            <w:r>
              <w:rPr>
                <w:sz w:val="19"/>
              </w:rPr>
              <w:t>A base fee with every useful feature as an add-on.</w:t>
            </w:r>
          </w:p>
        </w:tc>
        <w:tc>
          <w:tcPr>
            <w:tcW w:type="dxa" w:w="1701"/>
            <w:shd w:val="clear" w:color="auto" w:fill="FFF2CC"/>
          </w:tcPr>
          <w:p>
            <w:r/>
            <w:r>
              <w:rPr>
                <w:sz w:val="19"/>
              </w:rPr>
            </w:r>
          </w:p>
        </w:tc>
      </w:tr>
      <w:tr>
        <w:tc>
          <w:tcPr>
            <w:tcW w:type="dxa" w:w="3061"/>
          </w:tcPr>
          <w:p>
            <w:r/>
            <w:r>
              <w:rPr>
                <w:sz w:val="19"/>
              </w:rPr>
              <w:t>By how much can the price rise at renewal?</w:t>
            </w:r>
          </w:p>
        </w:tc>
        <w:tc>
          <w:tcPr>
            <w:tcW w:type="dxa" w:w="2835"/>
          </w:tcPr>
          <w:p>
            <w:r/>
            <w:r>
              <w:rPr>
                <w:sz w:val="19"/>
              </w:rPr>
              <w:t>A written cap, such as 5% a year.</w:t>
            </w:r>
          </w:p>
        </w:tc>
        <w:tc>
          <w:tcPr>
            <w:tcW w:type="dxa" w:w="2381"/>
          </w:tcPr>
          <w:p>
            <w:r/>
            <w:r>
              <w:rPr>
                <w:sz w:val="19"/>
              </w:rPr>
              <w:t>No cap, or "market rate".</w:t>
            </w:r>
          </w:p>
        </w:tc>
        <w:tc>
          <w:tcPr>
            <w:tcW w:type="dxa" w:w="1701"/>
            <w:shd w:val="clear" w:color="auto" w:fill="FFF2CC"/>
          </w:tcPr>
          <w:p>
            <w:r/>
            <w:r>
              <w:rPr>
                <w:sz w:val="19"/>
              </w:rPr>
            </w:r>
          </w:p>
        </w:tc>
      </w:tr>
      <w:tr>
        <w:tc>
          <w:tcPr>
            <w:tcW w:type="dxa" w:w="3061"/>
          </w:tcPr>
          <w:p>
            <w:r/>
            <w:r>
              <w:rPr>
                <w:sz w:val="19"/>
              </w:rPr>
              <w:t>What support can I reach on a Saturday evening in wedding season?</w:t>
            </w:r>
          </w:p>
        </w:tc>
        <w:tc>
          <w:tcPr>
            <w:tcW w:type="dxa" w:w="2835"/>
          </w:tcPr>
          <w:p>
            <w:r/>
            <w:r>
              <w:rPr>
                <w:sz w:val="19"/>
              </w:rPr>
              <w:t>A named channel with a response time.</w:t>
            </w:r>
          </w:p>
        </w:tc>
        <w:tc>
          <w:tcPr>
            <w:tcW w:type="dxa" w:w="2381"/>
          </w:tcPr>
          <w:p>
            <w:r/>
            <w:r>
              <w:rPr>
                <w:sz w:val="19"/>
              </w:rPr>
              <w:t>Weekday office hours only.</w:t>
            </w:r>
          </w:p>
        </w:tc>
        <w:tc>
          <w:tcPr>
            <w:tcW w:type="dxa" w:w="1701"/>
            <w:shd w:val="clear" w:color="auto" w:fill="FFF2CC"/>
          </w:tcPr>
          <w:p>
            <w:r/>
            <w:r>
              <w:rPr>
                <w:sz w:val="19"/>
              </w:rPr>
            </w:r>
          </w:p>
        </w:tc>
      </w:tr>
      <w:tr>
        <w:tc>
          <w:tcPr>
            <w:tcW w:type="dxa" w:w="3061"/>
          </w:tcPr>
          <w:p>
            <w:r/>
            <w:r>
              <w:rPr>
                <w:sz w:val="19"/>
              </w:rPr>
              <w:t>Can I speak to two customers with a venue like mine?</w:t>
            </w:r>
          </w:p>
        </w:tc>
        <w:tc>
          <w:tcPr>
            <w:tcW w:type="dxa" w:w="2835"/>
          </w:tcPr>
          <w:p>
            <w:r/>
            <w:r>
              <w:rPr>
                <w:sz w:val="19"/>
              </w:rPr>
              <w:t>Yes, within a day.</w:t>
            </w:r>
          </w:p>
        </w:tc>
        <w:tc>
          <w:tcPr>
            <w:tcW w:type="dxa" w:w="2381"/>
          </w:tcPr>
          <w:p>
            <w:r/>
            <w:r>
              <w:rPr>
                <w:sz w:val="19"/>
              </w:rPr>
              <w:t>Only testimonials on the website.</w:t>
            </w:r>
          </w:p>
        </w:tc>
        <w:tc>
          <w:tcPr>
            <w:tcW w:type="dxa" w:w="1701"/>
            <w:shd w:val="clear" w:color="auto" w:fill="FFF2CC"/>
          </w:tcPr>
          <w:p>
            <w:r/>
            <w:r>
              <w:rPr>
                <w:sz w:val="19"/>
              </w:rPr>
            </w:r>
          </w:p>
        </w:tc>
      </w:tr>
    </w:tbl>
    <w:p/>
    <w:p>
      <w:r>
        <w:rPr>
          <w:b/>
          <w:sz w:val="26"/>
        </w:rPr>
        <w:t>How to score</w:t>
      </w:r>
    </w:p>
    <w:p>
      <w:pPr>
        <w:pStyle w:val="ListBullet"/>
      </w:pPr>
      <w:r>
        <w:t>Score each reply 0 to 3: 0 cannot do it, 1 workaround or extra cost, 2 works but clumsy, 3 works cleanly and was shown live.</w:t>
      </w:r>
    </w:p>
    <w:p>
      <w:pPr>
        <w:pStyle w:val="ListBullet"/>
      </w:pPr>
      <w:r>
        <w:t>Weight the sections by what hurts most in your business. A hall with one property may weight calendar and GST at 5 and reporting at 2.</w:t>
      </w:r>
    </w:p>
    <w:p>
      <w:pPr>
        <w:pStyle w:val="ListBullet"/>
      </w:pPr>
      <w:r>
        <w:t>Any 0 on line-wise GST, double-booking protection or data export should stop the comparison until the vendor explains it.</w:t>
      </w:r>
    </w:p>
    <w:p>
      <w:pPr>
        <w:pStyle w:val="ListBullet"/>
      </w:pPr>
      <w:r>
        <w:t>Pair this with the demo scorecard spreadsheet so the written answers and the live demo are scored side by side.</w:t>
      </w:r>
    </w:p>
    <w:p>
      <w:r>
        <w:rPr>
          <w:i/>
          <w:sz w:val="18"/>
        </w:rPr>
        <w:t>Tax rates mentioned (5% on food served to guests at ordinary venues, 18% on hall rent and extras) reflect the rules as understood in September 2026. Confirm with your chartered accountant before you configure any system.</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